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EEF" w:rsidRPr="007C58E4" w:rsidRDefault="005E4692" w:rsidP="005E4692">
      <w:pPr>
        <w:pStyle w:val="Nadpis1"/>
        <w:numPr>
          <w:ilvl w:val="0"/>
          <w:numId w:val="0"/>
        </w:numPr>
        <w:jc w:val="center"/>
      </w:pPr>
      <w:bookmarkStart w:id="0" w:name="_Toc443308273"/>
      <w:bookmarkStart w:id="1" w:name="_GoBack"/>
      <w:bookmarkEnd w:id="1"/>
      <w:r>
        <w:t xml:space="preserve">Príloha 1: </w:t>
      </w:r>
      <w:r w:rsidR="00970EEF" w:rsidRPr="007C58E4">
        <w:t>Postupy odborného hodnotenia</w:t>
      </w:r>
      <w:bookmarkEnd w:id="0"/>
      <w:r>
        <w:t xml:space="preserve"> pre fázované projekty OPII</w:t>
      </w:r>
    </w:p>
    <w:p w:rsidR="00C759C8" w:rsidRPr="007C58E4" w:rsidRDefault="006258E2" w:rsidP="00C759C8">
      <w:pPr>
        <w:pStyle w:val="BodyText1"/>
        <w:ind w:firstLine="708"/>
        <w:rPr>
          <w:lang w:val="sk-SK"/>
        </w:rPr>
      </w:pPr>
      <w:r w:rsidRPr="007C58E4">
        <w:rPr>
          <w:lang w:val="sk-SK"/>
        </w:rPr>
        <w:t>O</w:t>
      </w:r>
      <w:r w:rsidR="00C759C8" w:rsidRPr="007C58E4">
        <w:rPr>
          <w:lang w:val="sk-SK"/>
        </w:rPr>
        <w:t>dborný hodnotiteľ sa v prvom rade oboznámi s celou ŽoNFP (II. fáza) a ďalej postupuje podľa nasledovných kritérií:</w:t>
      </w:r>
    </w:p>
    <w:p w:rsidR="00C759C8" w:rsidRPr="007C58E4" w:rsidRDefault="00C759C8" w:rsidP="00C759C8">
      <w:pPr>
        <w:spacing w:after="0"/>
      </w:pPr>
      <w:r w:rsidRPr="007C58E4">
        <w:rPr>
          <w:rFonts w:ascii="Arial Narrow" w:eastAsia="Times New Roman" w:hAnsi="Arial Narrow" w:cs="Times New Roman"/>
          <w:color w:val="0070C0"/>
          <w:szCs w:val="20"/>
        </w:rPr>
        <w:t>PRÍSPEVOK PROJEKTU K CIEĽOM A VÝSLEDKOM OP A PRIORITNEJ OSI</w:t>
      </w:r>
    </w:p>
    <w:tbl>
      <w:tblPr>
        <w:tblStyle w:val="Deloittetable31"/>
        <w:tblW w:w="1505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2"/>
        <w:gridCol w:w="1272"/>
        <w:gridCol w:w="463"/>
        <w:gridCol w:w="1482"/>
        <w:gridCol w:w="3723"/>
        <w:gridCol w:w="629"/>
        <w:gridCol w:w="3186"/>
        <w:gridCol w:w="4007"/>
      </w:tblGrid>
      <w:tr w:rsidR="00C759C8" w:rsidRPr="007C58E4" w:rsidTr="000572BD">
        <w:trPr>
          <w:cnfStyle w:val="100000000000" w:firstRow="1" w:lastRow="0" w:firstColumn="0" w:lastColumn="0" w:oddVBand="0" w:evenVBand="0" w:oddHBand="0" w:evenHBand="0" w:firstRowFirstColumn="0" w:firstRowLastColumn="0" w:lastRowFirstColumn="0" w:lastRowLastColumn="0"/>
          <w:trHeight w:val="366"/>
          <w:jc w:val="center"/>
        </w:trPr>
        <w:tc>
          <w:tcPr>
            <w:cnfStyle w:val="001000000000" w:firstRow="0" w:lastRow="0" w:firstColumn="1" w:lastColumn="0" w:oddVBand="0" w:evenVBand="0" w:oddHBand="0" w:evenHBand="0" w:firstRowFirstColumn="0" w:firstRowLastColumn="0" w:lastRowFirstColumn="0" w:lastRowLastColumn="0"/>
            <w:tcW w:w="1564" w:type="dxa"/>
            <w:gridSpan w:val="2"/>
            <w:tcBorders>
              <w:top w:val="single" w:sz="4" w:space="0" w:color="auto"/>
              <w:left w:val="single" w:sz="4" w:space="0" w:color="808080" w:themeColor="background1" w:themeShade="80"/>
            </w:tcBorders>
            <w:shd w:val="clear" w:color="auto" w:fill="002776" w:themeFill="text2"/>
          </w:tcPr>
          <w:p w:rsidR="00C759C8" w:rsidRPr="007C58E4" w:rsidRDefault="00C759C8" w:rsidP="00C759C8">
            <w:pPr>
              <w:spacing w:before="0" w:after="0" w:line="240" w:lineRule="auto"/>
              <w:ind w:left="0" w:firstLine="0"/>
              <w:jc w:val="center"/>
              <w:rPr>
                <w:rFonts w:cs="Calibri"/>
                <w:color w:val="FFFFFF" w:themeColor="background1"/>
                <w:lang w:val="sk-SK" w:eastAsia="sk-SK"/>
              </w:rPr>
            </w:pPr>
            <w:r w:rsidRPr="007C58E4">
              <w:rPr>
                <w:rFonts w:cs="Calibri"/>
                <w:bCs/>
                <w:lang w:val="sk-SK" w:eastAsia="sk-SK"/>
              </w:rPr>
              <w:t>Hodnotená oblasť</w:t>
            </w:r>
          </w:p>
        </w:tc>
        <w:tc>
          <w:tcPr>
            <w:tcW w:w="1945" w:type="dxa"/>
            <w:gridSpan w:val="2"/>
            <w:tcBorders>
              <w:top w:val="single" w:sz="4" w:space="0" w:color="auto"/>
            </w:tcBorders>
            <w:shd w:val="clear" w:color="auto" w:fill="002776" w:themeFill="text2"/>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FFFFFF" w:themeColor="background1"/>
                <w:lang w:val="sk-SK"/>
              </w:rPr>
            </w:pPr>
            <w:r w:rsidRPr="007C58E4">
              <w:rPr>
                <w:rFonts w:cs="Calibri"/>
                <w:bCs/>
                <w:lang w:val="sk-SK" w:eastAsia="sk-SK"/>
              </w:rPr>
              <w:t>Hodnotiace kritérium</w:t>
            </w:r>
          </w:p>
        </w:tc>
        <w:tc>
          <w:tcPr>
            <w:tcW w:w="3723" w:type="dxa"/>
            <w:tcBorders>
              <w:top w:val="single" w:sz="4" w:space="0" w:color="auto"/>
            </w:tcBorders>
            <w:shd w:val="clear" w:color="auto" w:fill="002776" w:themeFill="text2"/>
          </w:tcPr>
          <w:p w:rsidR="00C759C8" w:rsidRPr="007C58E4" w:rsidRDefault="00C759C8" w:rsidP="00C759C8">
            <w:pPr>
              <w:pStyle w:val="Tabtext"/>
              <w:jc w:val="center"/>
              <w:cnfStyle w:val="100000000000" w:firstRow="1" w:lastRow="0" w:firstColumn="0" w:lastColumn="0" w:oddVBand="0" w:evenVBand="0" w:oddHBand="0" w:evenHBand="0" w:firstRowFirstColumn="0" w:firstRowLastColumn="0" w:lastRowFirstColumn="0" w:lastRowLastColumn="0"/>
              <w:rPr>
                <w:rFonts w:cs="Calibri"/>
                <w:color w:val="FFFFFF" w:themeColor="background1"/>
                <w:sz w:val="20"/>
                <w:lang w:val="sk-SK"/>
              </w:rPr>
            </w:pPr>
            <w:r w:rsidRPr="007C58E4">
              <w:rPr>
                <w:rFonts w:cs="Calibri"/>
                <w:bCs/>
                <w:sz w:val="20"/>
                <w:lang w:val="sk-SK"/>
              </w:rPr>
              <w:t>Predmet hodnotenia</w:t>
            </w:r>
          </w:p>
        </w:tc>
        <w:tc>
          <w:tcPr>
            <w:tcW w:w="629" w:type="dxa"/>
            <w:tcBorders>
              <w:top w:val="single" w:sz="4" w:space="0" w:color="auto"/>
            </w:tcBorders>
            <w:shd w:val="clear" w:color="auto" w:fill="002776" w:themeFill="text2"/>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Hodno</w:t>
            </w:r>
          </w:p>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FFFFFF" w:themeColor="background1"/>
                <w:lang w:val="sk-SK"/>
              </w:rPr>
            </w:pPr>
            <w:r w:rsidRPr="007C58E4">
              <w:rPr>
                <w:rFonts w:cs="Calibri"/>
                <w:bCs/>
                <w:lang w:val="sk-SK" w:eastAsia="sk-SK"/>
              </w:rPr>
              <w:t>tenie</w:t>
            </w:r>
          </w:p>
        </w:tc>
        <w:tc>
          <w:tcPr>
            <w:tcW w:w="3186" w:type="dxa"/>
            <w:tcBorders>
              <w:top w:val="single" w:sz="4" w:space="0" w:color="auto"/>
              <w:right w:val="single" w:sz="4" w:space="0" w:color="808080" w:themeColor="background1" w:themeShade="80"/>
            </w:tcBorders>
            <w:shd w:val="clear" w:color="auto" w:fill="002776" w:themeFill="text2"/>
          </w:tcPr>
          <w:p w:rsidR="00C759C8" w:rsidRPr="007C58E4" w:rsidRDefault="007C58E4"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FFFFFF" w:themeColor="background1"/>
                <w:lang w:val="sk-SK"/>
              </w:rPr>
            </w:pPr>
            <w:r>
              <w:rPr>
                <w:rFonts w:cs="Calibri"/>
                <w:bCs/>
                <w:lang w:val="sk-SK" w:eastAsia="sk-SK"/>
              </w:rPr>
              <w:t xml:space="preserve">Spôsob aplikácie hodnotiaceho </w:t>
            </w:r>
            <w:r w:rsidR="00C759C8" w:rsidRPr="007C58E4">
              <w:rPr>
                <w:rFonts w:cs="Calibri"/>
                <w:bCs/>
                <w:lang w:val="sk-SK" w:eastAsia="sk-SK"/>
              </w:rPr>
              <w:t>kritéria</w:t>
            </w:r>
          </w:p>
        </w:tc>
        <w:tc>
          <w:tcPr>
            <w:tcW w:w="4007" w:type="dxa"/>
            <w:tcBorders>
              <w:top w:val="single" w:sz="4" w:space="0" w:color="808080" w:themeColor="background1" w:themeShade="80"/>
              <w:left w:val="single" w:sz="4" w:space="0" w:color="808080" w:themeColor="background1" w:themeShade="80"/>
            </w:tcBorders>
            <w:shd w:val="clear" w:color="auto" w:fill="C9DD03" w:themeFill="accent6"/>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 xml:space="preserve">Spôsob </w:t>
            </w:r>
            <w:r w:rsidRPr="007C58E4">
              <w:rPr>
                <w:rFonts w:cs="Calibri"/>
                <w:bCs/>
                <w:shd w:val="clear" w:color="auto" w:fill="C9DD03" w:themeFill="accent6"/>
                <w:lang w:val="sk-SK" w:eastAsia="sk-SK"/>
              </w:rPr>
              <w:t>vyhodnocovania a poznámky</w:t>
            </w:r>
          </w:p>
        </w:tc>
      </w:tr>
      <w:tr w:rsidR="00C759C8" w:rsidRPr="007C58E4" w:rsidTr="001F1E12">
        <w:trPr>
          <w:trHeight w:val="1871"/>
          <w:jc w:val="center"/>
        </w:trPr>
        <w:tc>
          <w:tcPr>
            <w:cnfStyle w:val="001000000000" w:firstRow="0" w:lastRow="0" w:firstColumn="1" w:lastColumn="0" w:oddVBand="0" w:evenVBand="0" w:oddHBand="0" w:evenHBand="0" w:firstRowFirstColumn="0" w:firstRowLastColumn="0" w:lastRowFirstColumn="0" w:lastRowLastColumn="0"/>
            <w:tcW w:w="292" w:type="dxa"/>
            <w:vMerge w:val="restart"/>
            <w:tcBorders>
              <w:top w:val="single" w:sz="4" w:space="0" w:color="auto"/>
              <w:left w:val="single" w:sz="4" w:space="0" w:color="808080" w:themeColor="background1" w:themeShade="80"/>
            </w:tcBorders>
          </w:tcPr>
          <w:p w:rsidR="00C759C8" w:rsidRPr="007C58E4" w:rsidRDefault="00474E18" w:rsidP="003D7106">
            <w:pPr>
              <w:spacing w:before="0" w:after="0" w:line="240" w:lineRule="auto"/>
              <w:ind w:left="0" w:firstLine="0"/>
              <w:rPr>
                <w:rFonts w:cs="Calibri"/>
                <w:lang w:val="sk-SK"/>
              </w:rPr>
            </w:pPr>
            <w:r w:rsidRPr="007C58E4">
              <w:rPr>
                <w:rFonts w:cs="Calibri"/>
                <w:color w:val="000000"/>
                <w:lang w:val="sk-SK" w:eastAsia="sk-SK"/>
              </w:rPr>
              <w:t>1</w:t>
            </w:r>
            <w:r w:rsidR="00722C1A" w:rsidRPr="007C58E4">
              <w:rPr>
                <w:rFonts w:cs="Calibri"/>
                <w:color w:val="000000"/>
                <w:lang w:val="sk-SK" w:eastAsia="sk-SK"/>
              </w:rPr>
              <w:t>.</w:t>
            </w:r>
          </w:p>
        </w:tc>
        <w:tc>
          <w:tcPr>
            <w:tcW w:w="1272" w:type="dxa"/>
            <w:vMerge w:val="restart"/>
            <w:tcBorders>
              <w:top w:val="single" w:sz="4" w:space="0" w:color="auto"/>
            </w:tcBorders>
          </w:tcPr>
          <w:p w:rsidR="00C759C8" w:rsidRPr="007C58E4" w:rsidRDefault="00C759C8"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Príspevok projektu k cieľom a výsledkom OP a prioritnej osi</w:t>
            </w:r>
          </w:p>
        </w:tc>
        <w:tc>
          <w:tcPr>
            <w:tcW w:w="463" w:type="dxa"/>
            <w:vMerge w:val="restart"/>
            <w:tcBorders>
              <w:top w:val="single" w:sz="4" w:space="0" w:color="auto"/>
            </w:tcBorders>
          </w:tcPr>
          <w:p w:rsidR="00C759C8" w:rsidRPr="007C58E4" w:rsidRDefault="00474E1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1</w:t>
            </w:r>
            <w:r w:rsidR="00C759C8" w:rsidRPr="007C58E4">
              <w:rPr>
                <w:rFonts w:cs="Calibri"/>
                <w:color w:val="000000"/>
                <w:lang w:val="sk-SK"/>
              </w:rPr>
              <w:t>.1</w:t>
            </w:r>
          </w:p>
        </w:tc>
        <w:tc>
          <w:tcPr>
            <w:tcW w:w="1482" w:type="dxa"/>
            <w:vMerge w:val="restart"/>
            <w:tcBorders>
              <w:top w:val="single" w:sz="4" w:space="0" w:color="auto"/>
            </w:tcBorders>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Súlad projektu so stratégiou operačného programu</w:t>
            </w:r>
          </w:p>
        </w:tc>
        <w:tc>
          <w:tcPr>
            <w:tcW w:w="3723" w:type="dxa"/>
            <w:vMerge w:val="restart"/>
            <w:tcBorders>
              <w:top w:val="single" w:sz="4" w:space="0" w:color="auto"/>
            </w:tcBorders>
          </w:tcPr>
          <w:p w:rsidR="00C759C8" w:rsidRPr="007C58E4" w:rsidRDefault="00C759C8" w:rsidP="00C759C8">
            <w:pPr>
              <w:pStyle w:val="Tabtext"/>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 xml:space="preserve">Posudzuje sa súlad </w:t>
            </w:r>
            <w:r w:rsidR="00474E18" w:rsidRPr="007C58E4">
              <w:rPr>
                <w:rFonts w:cs="Calibri"/>
                <w:sz w:val="20"/>
                <w:lang w:val="sk-SK"/>
              </w:rPr>
              <w:t>fázy II</w:t>
            </w:r>
            <w:r w:rsidRPr="007C58E4">
              <w:rPr>
                <w:rFonts w:cs="Calibri"/>
                <w:sz w:val="20"/>
                <w:lang w:val="sk-SK"/>
              </w:rPr>
              <w:t xml:space="preserve"> so stratégiou OPII v príslušnej oblasti podpory, t.j. súlad s:</w:t>
            </w:r>
          </w:p>
          <w:p w:rsidR="00C759C8" w:rsidRPr="007C58E4" w:rsidRDefault="00C759C8" w:rsidP="00C759C8">
            <w:pPr>
              <w:pStyle w:val="Tabtext"/>
              <w:numPr>
                <w:ilvl w:val="0"/>
                <w:numId w:val="17"/>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príslušným špecifickým cieľom (cieľmi ak relevantné),</w:t>
            </w:r>
          </w:p>
          <w:p w:rsidR="00C759C8" w:rsidRPr="007C58E4" w:rsidRDefault="00C759C8" w:rsidP="00C759C8">
            <w:pPr>
              <w:pStyle w:val="Tabtext"/>
              <w:numPr>
                <w:ilvl w:val="0"/>
                <w:numId w:val="17"/>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očakávanými výsledkami,</w:t>
            </w:r>
          </w:p>
          <w:p w:rsidR="00C759C8" w:rsidRPr="007C58E4" w:rsidRDefault="00C759C8" w:rsidP="00C759C8">
            <w:pPr>
              <w:pStyle w:val="Tabtext"/>
              <w:numPr>
                <w:ilvl w:val="0"/>
                <w:numId w:val="17"/>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definovanými oprávnenými aktivitami,</w:t>
            </w:r>
          </w:p>
          <w:p w:rsidR="00C759C8" w:rsidRPr="007C58E4" w:rsidRDefault="00C759C8" w:rsidP="00C759C8">
            <w:pPr>
              <w:pStyle w:val="Tabtext"/>
              <w:numPr>
                <w:ilvl w:val="0"/>
                <w:numId w:val="17"/>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príslušnými ukazovateľmi stanovenými pre  fázované projekty vo vyzvaní na predkladanie ŽoNFP a zodpovedajúcimi špecifickému cieľu.</w:t>
            </w:r>
          </w:p>
          <w:p w:rsidR="00C759C8" w:rsidRPr="007C58E4" w:rsidRDefault="00C759C8" w:rsidP="00C759C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br/>
              <w:t xml:space="preserve">Na rozdiel od administratívneho overenia ide o hĺbkové posúdenie vecnej (obsahovej) stránky projektu z hľadiska jeho súladu so stratégiou a cieľmi jednej z prioritných osí 1 až 6 OPII. </w:t>
            </w:r>
          </w:p>
          <w:p w:rsidR="00C759C8" w:rsidRPr="007C58E4" w:rsidRDefault="00C759C8" w:rsidP="00BA1E61">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Borders>
              <w:top w:val="single" w:sz="4" w:space="0" w:color="auto"/>
            </w:tcBorders>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Nie</w:t>
            </w:r>
          </w:p>
        </w:tc>
        <w:tc>
          <w:tcPr>
            <w:tcW w:w="3186" w:type="dxa"/>
            <w:tcBorders>
              <w:top w:val="single" w:sz="4" w:space="0" w:color="auto"/>
              <w:right w:val="single" w:sz="4" w:space="0" w:color="808080" w:themeColor="background1" w:themeShade="80"/>
            </w:tcBorders>
          </w:tcPr>
          <w:p w:rsidR="00C759C8" w:rsidRPr="007C58E4" w:rsidRDefault="00C759C8" w:rsidP="001F1E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Hlavné aktivity projektu </w:t>
            </w:r>
            <w:r w:rsidRPr="007C58E4">
              <w:rPr>
                <w:rFonts w:cs="Calibri"/>
                <w:b/>
                <w:lang w:val="sk-SK"/>
              </w:rPr>
              <w:t>nie sú</w:t>
            </w:r>
            <w:r w:rsidRPr="007C58E4">
              <w:rPr>
                <w:rFonts w:cs="Calibri"/>
                <w:lang w:val="sk-SK"/>
              </w:rPr>
              <w:t xml:space="preserve"> v súlade so stratégiou OPII v danej oblasti, resp. ich súlad je iba v deklaratívnej rovine.</w:t>
            </w:r>
            <w:r w:rsidR="00D46225" w:rsidRPr="007C58E4">
              <w:rPr>
                <w:rFonts w:cs="Calibri"/>
                <w:lang w:val="sk-SK"/>
              </w:rPr>
              <w:t xml:space="preserve"> Projekt (druhá fáza) tak </w:t>
            </w:r>
            <w:r w:rsidR="00D46225" w:rsidRPr="007C58E4">
              <w:rPr>
                <w:rFonts w:cs="Calibri"/>
                <w:b/>
                <w:lang w:val="sk-SK"/>
              </w:rPr>
              <w:t>nie je</w:t>
            </w:r>
            <w:r w:rsidR="00D46225" w:rsidRPr="007C58E4">
              <w:rPr>
                <w:rFonts w:cs="Calibri"/>
                <w:lang w:val="sk-SK"/>
              </w:rPr>
              <w:t xml:space="preserve"> </w:t>
            </w:r>
            <w:r w:rsidR="00D46225" w:rsidRPr="007C58E4">
              <w:rPr>
                <w:rFonts w:cs="Calibri"/>
                <w:b/>
                <w:lang w:val="sk-SK"/>
              </w:rPr>
              <w:t>oprávnený</w:t>
            </w:r>
            <w:r w:rsidR="00D46225" w:rsidRPr="007C58E4">
              <w:rPr>
                <w:rFonts w:cs="Calibri"/>
                <w:lang w:val="sk-SK"/>
              </w:rPr>
              <w:t xml:space="preserve"> </w:t>
            </w:r>
            <w:r w:rsidR="000572BD" w:rsidRPr="007C58E4">
              <w:rPr>
                <w:rFonts w:cs="Calibri"/>
                <w:lang w:val="sk-SK"/>
              </w:rPr>
              <w:t>na</w:t>
            </w:r>
            <w:r w:rsidR="00D46225" w:rsidRPr="007C58E4">
              <w:rPr>
                <w:rFonts w:cs="Calibri"/>
                <w:lang w:val="sk-SK"/>
              </w:rPr>
              <w:t xml:space="preserve"> financovanie v programovom období 2014 – 2020 z OPII.</w:t>
            </w:r>
          </w:p>
        </w:tc>
        <w:tc>
          <w:tcPr>
            <w:tcW w:w="4007" w:type="dxa"/>
            <w:vMerge w:val="restart"/>
            <w:tcBorders>
              <w:top w:val="single" w:sz="4" w:space="0" w:color="808080" w:themeColor="background1" w:themeShade="80"/>
              <w:left w:val="single" w:sz="4" w:space="0" w:color="808080" w:themeColor="background1" w:themeShade="80"/>
            </w:tcBorders>
          </w:tcPr>
          <w:p w:rsidR="00C759C8" w:rsidRPr="007C58E4" w:rsidRDefault="00C759C8" w:rsidP="00474E1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lang w:val="sk-SK"/>
              </w:rPr>
              <w:t xml:space="preserve">Na základe tabuľky </w:t>
            </w:r>
            <w:r w:rsidRPr="007C58E4">
              <w:rPr>
                <w:rFonts w:cs="Calibri"/>
                <w:b/>
                <w:lang w:val="sk-SK"/>
              </w:rPr>
              <w:t>„Prehľad špecifických cieľov, očakávaných výsledkov a ukazovateľov vrátane ich relevancie k Horizontálnym princípom“</w:t>
            </w:r>
            <w:r w:rsidRPr="007C58E4">
              <w:rPr>
                <w:rFonts w:cs="Calibri"/>
                <w:lang w:val="sk-SK"/>
              </w:rPr>
              <w:t xml:space="preserve"> (príloha č. 7)  a na základe vecného posúdenia hlavných aktivít projektu odborný hodnotiteľ určí, či je projekt</w:t>
            </w:r>
            <w:r w:rsidR="00200A6C" w:rsidRPr="007C58E4">
              <w:rPr>
                <w:rFonts w:cs="Calibri"/>
                <w:lang w:val="sk-SK"/>
              </w:rPr>
              <w:t xml:space="preserve"> (druhá fáza) </w:t>
            </w:r>
            <w:r w:rsidRPr="007C58E4">
              <w:rPr>
                <w:rFonts w:cs="Calibri"/>
                <w:lang w:val="sk-SK"/>
              </w:rPr>
              <w:t xml:space="preserve"> relevantný z hľadiska:</w:t>
            </w:r>
          </w:p>
          <w:p w:rsidR="00C759C8" w:rsidRPr="007C58E4" w:rsidRDefault="00C759C8" w:rsidP="00F04E31">
            <w:pPr>
              <w:pStyle w:val="Odsekzoznamu"/>
              <w:numPr>
                <w:ilvl w:val="0"/>
                <w:numId w:val="9"/>
              </w:numPr>
              <w:spacing w:line="240" w:lineRule="auto"/>
              <w:ind w:left="256" w:hanging="284"/>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lang w:val="sk-SK"/>
              </w:rPr>
              <w:t xml:space="preserve">napĺňania špecifického cieľa, prípadne špecifických cieľov pre danú oblasť podpory OPII (neposudzuje sa kvantifikovaná miera príspevku), </w:t>
            </w:r>
          </w:p>
          <w:p w:rsidR="00C759C8" w:rsidRPr="007C58E4" w:rsidRDefault="00C759C8" w:rsidP="00F04E31">
            <w:pPr>
              <w:pStyle w:val="Odsekzoznamu"/>
              <w:numPr>
                <w:ilvl w:val="0"/>
                <w:numId w:val="9"/>
              </w:numPr>
              <w:spacing w:line="240" w:lineRule="auto"/>
              <w:ind w:left="256" w:hanging="284"/>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lang w:val="sk-SK"/>
              </w:rPr>
              <w:t xml:space="preserve">dosiahnutia očakávaných výsledkov, </w:t>
            </w:r>
          </w:p>
          <w:p w:rsidR="00C759C8" w:rsidRPr="007C58E4" w:rsidRDefault="00C759C8" w:rsidP="00F04E31">
            <w:pPr>
              <w:pStyle w:val="Odsekzoznamu"/>
              <w:numPr>
                <w:ilvl w:val="0"/>
                <w:numId w:val="9"/>
              </w:numPr>
              <w:spacing w:line="240" w:lineRule="auto"/>
              <w:ind w:left="256" w:hanging="284"/>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vecného obsahu </w:t>
            </w:r>
            <w:r w:rsidR="000134BF" w:rsidRPr="007C58E4">
              <w:rPr>
                <w:rFonts w:cs="Calibri"/>
                <w:lang w:val="sk-SK"/>
              </w:rPr>
              <w:t>oprávnených</w:t>
            </w:r>
            <w:r w:rsidRPr="007C58E4">
              <w:rPr>
                <w:rFonts w:cs="Calibri"/>
                <w:lang w:val="sk-SK"/>
              </w:rPr>
              <w:t xml:space="preserve"> aktivít</w:t>
            </w:r>
            <w:r w:rsidR="00D46225" w:rsidRPr="007C58E4">
              <w:rPr>
                <w:rFonts w:cs="Calibri"/>
                <w:lang w:val="sk-SK"/>
              </w:rPr>
              <w:t>,</w:t>
            </w:r>
            <w:r w:rsidRPr="007C58E4">
              <w:rPr>
                <w:rFonts w:cs="Calibri"/>
                <w:lang w:val="sk-SK"/>
              </w:rPr>
              <w:t xml:space="preserve"> </w:t>
            </w:r>
          </w:p>
          <w:p w:rsidR="00200A6C" w:rsidRPr="007C58E4" w:rsidRDefault="00C759C8" w:rsidP="00F04E31">
            <w:pPr>
              <w:pStyle w:val="Odsekzoznamu"/>
              <w:numPr>
                <w:ilvl w:val="0"/>
                <w:numId w:val="9"/>
              </w:numPr>
              <w:spacing w:line="240" w:lineRule="auto"/>
              <w:ind w:left="256" w:hanging="284"/>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príslušných ukazovateľov projektu</w:t>
            </w:r>
            <w:r w:rsidR="00D46225" w:rsidRPr="007C58E4">
              <w:rPr>
                <w:rFonts w:cs="Calibri"/>
                <w:lang w:val="sk-SK"/>
              </w:rPr>
              <w:t xml:space="preserve"> stanovených pre fázované projekty vo vyzvaní na predkladanie ŽoNFP a zodpovedajúcimi špecifickému cieľu.</w:t>
            </w:r>
          </w:p>
          <w:p w:rsidR="00C759C8" w:rsidRPr="007C58E4" w:rsidRDefault="000572BD" w:rsidP="00C50E0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i/>
                <w:szCs w:val="22"/>
                <w:lang w:val="sk-SK"/>
              </w:rPr>
            </w:pPr>
            <w:r w:rsidRPr="007C58E4">
              <w:rPr>
                <w:rFonts w:cs="Calibri"/>
                <w:i/>
                <w:szCs w:val="22"/>
                <w:lang w:val="sk-SK"/>
              </w:rPr>
              <w:t xml:space="preserve">Pozn.: </w:t>
            </w:r>
            <w:r w:rsidR="00C759C8" w:rsidRPr="007C58E4">
              <w:rPr>
                <w:rFonts w:cs="Calibri"/>
                <w:i/>
                <w:szCs w:val="22"/>
                <w:lang w:val="sk-SK"/>
              </w:rPr>
              <w:t>Investičná priorita OPII obsahuje špecifické ciele, ktoré môžu byť napĺňané viacerými aktivitami/podaktivitami, pričom niektoré z nich môžu k dosahovaniu špecifického cieľa prispievať len okrajovo. V prípade vyzvaní zameraných na uvedené marginálne oblasti podpory sa za minimálne požadovaný príspevok projektu k špecifickému cieľu považuje súlad projektu s cieľom aktivity/podaktivity zaradenej v investičnej priority OPII k danému špecifickému cieľu.</w:t>
            </w:r>
          </w:p>
          <w:p w:rsidR="00C759C8" w:rsidRPr="007C58E4" w:rsidRDefault="00C759C8" w:rsidP="00C50E0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i/>
                <w:color w:val="FF0000"/>
                <w:szCs w:val="22"/>
                <w:lang w:val="sk-SK"/>
              </w:rPr>
            </w:pPr>
            <w:r w:rsidRPr="007C58E4">
              <w:rPr>
                <w:rFonts w:cs="Calibri"/>
                <w:i/>
                <w:szCs w:val="22"/>
                <w:lang w:val="sk-SK"/>
              </w:rPr>
              <w:t xml:space="preserve">V prípade, že odborný hodnotiteľ v tomto alebo inom hodnotiacom kritériu identifikuje niektorú z aktivít projektu ako neoprávnenú, projekt ako </w:t>
            </w:r>
            <w:r w:rsidRPr="007C58E4">
              <w:rPr>
                <w:rFonts w:cs="Calibri"/>
                <w:i/>
                <w:szCs w:val="22"/>
                <w:lang w:val="sk-SK"/>
              </w:rPr>
              <w:lastRenderedPageBreak/>
              <w:t>celok môže stále prispievať k dosahovaniu výsledku, resp. výsledkov definovaných pre danú oblasť podpory OPII. Prípadné identifikované neoprávnené aktivity projektu majú za následok zníženie celkovej výšky oprávnených výdavkov projektu</w:t>
            </w:r>
            <w:r w:rsidRPr="007C58E4">
              <w:rPr>
                <w:rFonts w:cs="Calibri"/>
                <w:b/>
                <w:i/>
                <w:szCs w:val="22"/>
                <w:lang w:val="sk-SK"/>
              </w:rPr>
              <w:t>,</w:t>
            </w:r>
            <w:r w:rsidR="00BE1388" w:rsidRPr="007C58E4">
              <w:rPr>
                <w:rFonts w:cs="Calibri"/>
                <w:b/>
                <w:i/>
                <w:szCs w:val="22"/>
                <w:lang w:val="sk-SK"/>
              </w:rPr>
              <w:t xml:space="preserve"> </w:t>
            </w:r>
            <w:r w:rsidRPr="007C58E4">
              <w:rPr>
                <w:rFonts w:cs="Calibri"/>
                <w:i/>
                <w:szCs w:val="22"/>
                <w:lang w:val="sk-SK"/>
              </w:rPr>
              <w:t>proces hodnotenia naďalej môže pokračovať.</w:t>
            </w:r>
          </w:p>
          <w:p w:rsidR="00C759C8" w:rsidRPr="007C58E4" w:rsidRDefault="00C759C8" w:rsidP="00C457F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lang w:val="sk-SK"/>
              </w:rPr>
              <w:t xml:space="preserve">Odborný hodnotiteľ vždy zdôvodní svoju odpoveď </w:t>
            </w:r>
            <w:r w:rsidRPr="007C58E4">
              <w:rPr>
                <w:rFonts w:cs="Calibri"/>
                <w:b/>
                <w:szCs w:val="22"/>
                <w:lang w:val="sk-SK"/>
              </w:rPr>
              <w:t xml:space="preserve">„ÁNO“/“NIE” </w:t>
            </w:r>
            <w:r w:rsidRPr="007C58E4">
              <w:rPr>
                <w:rFonts w:cs="Calibri"/>
                <w:b/>
                <w:lang w:val="sk-SK"/>
              </w:rPr>
              <w:t>v Hodnotiacom hárku odborného hodnotenia</w:t>
            </w:r>
            <w:r w:rsidRPr="007C58E4">
              <w:rPr>
                <w:rFonts w:cs="Calibri"/>
                <w:lang w:val="sk-SK"/>
              </w:rPr>
              <w:t xml:space="preserve"> </w:t>
            </w:r>
            <w:r w:rsidRPr="007C58E4">
              <w:rPr>
                <w:rFonts w:cs="Calibri"/>
                <w:b/>
                <w:lang w:val="sk-SK"/>
              </w:rPr>
              <w:t>v časti Komentár a súčasne uvedie odkaz na dokument vrátane relevantnej časti</w:t>
            </w:r>
            <w:r w:rsidRPr="007C58E4">
              <w:rPr>
                <w:rFonts w:cs="Calibri"/>
                <w:lang w:val="sk-SK"/>
              </w:rPr>
              <w:t xml:space="preserve"> (ŽoNFP a relevantnej prílohy a pod.), na základe ktorej bolo vykonané hodnotenie. </w:t>
            </w:r>
          </w:p>
          <w:p w:rsidR="00C759C8" w:rsidRPr="007C58E4" w:rsidRDefault="00C759C8" w:rsidP="00C457F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szCs w:val="22"/>
                <w:lang w:val="sk-SK"/>
              </w:rPr>
              <w:t xml:space="preserve">Projekt </w:t>
            </w:r>
            <w:r w:rsidRPr="007C58E4">
              <w:rPr>
                <w:rFonts w:cs="Calibri"/>
                <w:b/>
                <w:szCs w:val="22"/>
                <w:lang w:val="sk-SK"/>
              </w:rPr>
              <w:t>vyhovie</w:t>
            </w:r>
            <w:r w:rsidRPr="007C58E4">
              <w:rPr>
                <w:rFonts w:cs="Calibri"/>
                <w:szCs w:val="22"/>
                <w:lang w:val="sk-SK"/>
              </w:rPr>
              <w:t xml:space="preserve">, ak na hodnotiacu otázku pre každú z relevantných usmerňujúcich bodov  a) - d) odborný hodnotiteľ odpovie </w:t>
            </w:r>
            <w:r w:rsidRPr="007C58E4">
              <w:rPr>
                <w:rFonts w:cs="Calibri"/>
                <w:b/>
                <w:szCs w:val="22"/>
                <w:lang w:val="sk-SK"/>
              </w:rPr>
              <w:t xml:space="preserve">„ÁNO“. </w:t>
            </w:r>
          </w:p>
          <w:p w:rsidR="00C759C8" w:rsidRPr="007C58E4" w:rsidRDefault="00C759C8"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 xml:space="preserve">V prípade, že odborný hodnotiteľ minimálne na jeden z bodov a) – d)  </w:t>
            </w:r>
            <w:r w:rsidRPr="007C58E4">
              <w:rPr>
                <w:rFonts w:cs="Calibri"/>
                <w:lang w:val="sk-SK"/>
              </w:rPr>
              <w:t>odpovie</w:t>
            </w:r>
            <w:r w:rsidRPr="007C58E4">
              <w:rPr>
                <w:rFonts w:cs="Calibri"/>
                <w:b/>
                <w:lang w:val="sk-SK"/>
              </w:rPr>
              <w:t xml:space="preserve"> “NIE”</w:t>
            </w:r>
            <w:r w:rsidRPr="007C58E4">
              <w:rPr>
                <w:rFonts w:cs="Calibri"/>
                <w:lang w:val="sk-SK"/>
              </w:rPr>
              <w:t xml:space="preserve"> </w:t>
            </w:r>
            <w:r w:rsidRPr="007C58E4">
              <w:rPr>
                <w:rFonts w:cs="Calibri"/>
                <w:color w:val="000000"/>
                <w:lang w:val="sk-SK" w:eastAsia="sk-SK"/>
              </w:rPr>
              <w:t xml:space="preserve"> je ŽoNFP vyradená zo schvaľovacieho procesu.</w:t>
            </w:r>
          </w:p>
        </w:tc>
      </w:tr>
      <w:tr w:rsidR="00C759C8" w:rsidRPr="007C58E4" w:rsidTr="000572BD">
        <w:trPr>
          <w:trHeight w:val="846"/>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vAlign w:val="center"/>
          </w:tcPr>
          <w:p w:rsidR="00C759C8" w:rsidRPr="007C58E4" w:rsidRDefault="00C759C8" w:rsidP="003D7106">
            <w:pPr>
              <w:spacing w:before="0" w:after="0" w:line="240" w:lineRule="auto"/>
              <w:ind w:left="0" w:firstLine="0"/>
              <w:rPr>
                <w:rFonts w:cs="Calibri"/>
                <w:lang w:val="sk-SK"/>
              </w:rPr>
            </w:pPr>
          </w:p>
        </w:tc>
        <w:tc>
          <w:tcPr>
            <w:tcW w:w="127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Áno</w:t>
            </w:r>
          </w:p>
        </w:tc>
        <w:tc>
          <w:tcPr>
            <w:tcW w:w="3186" w:type="dxa"/>
            <w:tcBorders>
              <w:right w:val="single" w:sz="4" w:space="0" w:color="808080" w:themeColor="background1" w:themeShade="80"/>
            </w:tcBorders>
          </w:tcPr>
          <w:p w:rsidR="00C759C8" w:rsidRPr="007C58E4" w:rsidRDefault="00C759C8" w:rsidP="001F1E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Hlavné aktivity projektu </w:t>
            </w:r>
            <w:r w:rsidRPr="007C58E4">
              <w:rPr>
                <w:rFonts w:cs="Calibri"/>
                <w:b/>
                <w:lang w:val="sk-SK"/>
              </w:rPr>
              <w:t>sú</w:t>
            </w:r>
            <w:r w:rsidRPr="007C58E4">
              <w:rPr>
                <w:rFonts w:cs="Calibri"/>
                <w:lang w:val="sk-SK"/>
              </w:rPr>
              <w:t xml:space="preserve"> v súlade so stratégiou OPII v danej oblasti</w:t>
            </w:r>
            <w:r w:rsidR="00BE1388" w:rsidRPr="007C58E4">
              <w:rPr>
                <w:rFonts w:cs="Calibri"/>
                <w:lang w:val="sk-SK"/>
              </w:rPr>
              <w:t>. P</w:t>
            </w:r>
            <w:r w:rsidR="00D46225" w:rsidRPr="007C58E4">
              <w:rPr>
                <w:rFonts w:cs="Calibri"/>
                <w:lang w:val="sk-SK"/>
              </w:rPr>
              <w:t xml:space="preserve">rojekt (druhá fáza) </w:t>
            </w:r>
            <w:r w:rsidR="00D46225" w:rsidRPr="007C58E4">
              <w:rPr>
                <w:rFonts w:cs="Calibri"/>
                <w:b/>
                <w:lang w:val="sk-SK"/>
              </w:rPr>
              <w:t>je oprávnený</w:t>
            </w:r>
            <w:r w:rsidR="00D46225" w:rsidRPr="007C58E4">
              <w:rPr>
                <w:rFonts w:cs="Calibri"/>
                <w:lang w:val="sk-SK"/>
              </w:rPr>
              <w:t xml:space="preserve"> na financovanie v programovom 2014 – 2020 z OPII. </w:t>
            </w:r>
            <w:r w:rsidRPr="007C58E4">
              <w:rPr>
                <w:rFonts w:cs="Calibri"/>
                <w:lang w:val="sk-SK"/>
              </w:rPr>
              <w:t xml:space="preserve"> </w:t>
            </w:r>
          </w:p>
        </w:tc>
        <w:tc>
          <w:tcPr>
            <w:tcW w:w="4007" w:type="dxa"/>
            <w:vMerge/>
            <w:tcBorders>
              <w:left w:val="single" w:sz="4" w:space="0" w:color="808080" w:themeColor="background1" w:themeShade="80"/>
            </w:tcBorders>
          </w:tcPr>
          <w:p w:rsidR="00C759C8" w:rsidRPr="007C58E4" w:rsidRDefault="00C759C8"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color w:val="000000"/>
                <w:szCs w:val="22"/>
                <w:lang w:val="sk-SK"/>
              </w:rPr>
            </w:pPr>
          </w:p>
        </w:tc>
      </w:tr>
    </w:tbl>
    <w:p w:rsidR="00C759C8" w:rsidRPr="007C58E4" w:rsidRDefault="00C759C8" w:rsidP="00C759C8">
      <w:pPr>
        <w:spacing w:before="240" w:after="0"/>
        <w:rPr>
          <w:rFonts w:ascii="Arial Narrow" w:eastAsia="Times New Roman" w:hAnsi="Arial Narrow" w:cs="Times New Roman"/>
          <w:color w:val="0070C0"/>
          <w:szCs w:val="20"/>
        </w:rPr>
      </w:pPr>
      <w:r w:rsidRPr="007C58E4">
        <w:rPr>
          <w:rFonts w:ascii="Arial Narrow" w:eastAsia="Times New Roman" w:hAnsi="Arial Narrow" w:cs="Times New Roman"/>
          <w:color w:val="0070C0"/>
          <w:szCs w:val="20"/>
        </w:rPr>
        <w:t>NAVRHOVANÝ SPÔSOB REALIZÁCIE PROJEKTU</w:t>
      </w:r>
    </w:p>
    <w:tbl>
      <w:tblPr>
        <w:tblStyle w:val="Deloittetable31"/>
        <w:tblW w:w="1505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2"/>
        <w:gridCol w:w="1272"/>
        <w:gridCol w:w="463"/>
        <w:gridCol w:w="1482"/>
        <w:gridCol w:w="3723"/>
        <w:gridCol w:w="629"/>
        <w:gridCol w:w="3186"/>
        <w:gridCol w:w="4007"/>
      </w:tblGrid>
      <w:tr w:rsidR="00C759C8" w:rsidRPr="007C58E4" w:rsidTr="000572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64" w:type="dxa"/>
            <w:gridSpan w:val="2"/>
            <w:tcBorders>
              <w:lef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rPr>
                <w:rFonts w:cs="Calibri"/>
                <w:color w:val="000000"/>
                <w:lang w:val="sk-SK" w:eastAsia="sk-SK"/>
              </w:rPr>
            </w:pPr>
            <w:r w:rsidRPr="007C58E4">
              <w:rPr>
                <w:rFonts w:cs="Calibri"/>
                <w:bCs/>
                <w:lang w:val="sk-SK" w:eastAsia="sk-SK"/>
              </w:rPr>
              <w:t>Hodnotená oblasť</w:t>
            </w:r>
          </w:p>
        </w:tc>
        <w:tc>
          <w:tcPr>
            <w:tcW w:w="1945" w:type="dxa"/>
            <w:gridSpan w:val="2"/>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bCs/>
                <w:lang w:val="sk-SK" w:eastAsia="sk-SK"/>
              </w:rPr>
              <w:t>Hodnotiace kritérium</w:t>
            </w:r>
          </w:p>
        </w:tc>
        <w:tc>
          <w:tcPr>
            <w:tcW w:w="3723"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Predmet hodnotenia</w:t>
            </w:r>
          </w:p>
        </w:tc>
        <w:tc>
          <w:tcPr>
            <w:tcW w:w="629"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Hodno</w:t>
            </w:r>
          </w:p>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tenie</w:t>
            </w:r>
          </w:p>
        </w:tc>
        <w:tc>
          <w:tcPr>
            <w:tcW w:w="3186" w:type="dxa"/>
            <w:tcBorders>
              <w:righ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Spôsob aplikácie hodnotiaceho kritéria</w:t>
            </w:r>
          </w:p>
        </w:tc>
        <w:tc>
          <w:tcPr>
            <w:tcW w:w="4007" w:type="dxa"/>
            <w:tcBorders>
              <w:left w:val="single" w:sz="4" w:space="0" w:color="808080" w:themeColor="background1" w:themeShade="80"/>
            </w:tcBorders>
            <w:shd w:val="clear" w:color="auto" w:fill="C9DD03" w:themeFill="accent6"/>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 xml:space="preserve">Spôsob </w:t>
            </w:r>
            <w:r w:rsidRPr="007C58E4">
              <w:rPr>
                <w:rFonts w:cs="Calibri"/>
                <w:bCs/>
                <w:shd w:val="clear" w:color="auto" w:fill="C9DD03" w:themeFill="accent6"/>
                <w:lang w:val="sk-SK" w:eastAsia="sk-SK"/>
              </w:rPr>
              <w:t>vyhodnocovania a poznámky</w:t>
            </w:r>
          </w:p>
        </w:tc>
      </w:tr>
      <w:tr w:rsidR="00C759C8" w:rsidRPr="007C58E4" w:rsidTr="000572BD">
        <w:trPr>
          <w:jc w:val="center"/>
        </w:trPr>
        <w:tc>
          <w:tcPr>
            <w:cnfStyle w:val="001000000000" w:firstRow="0" w:lastRow="0" w:firstColumn="1" w:lastColumn="0" w:oddVBand="0" w:evenVBand="0" w:oddHBand="0" w:evenHBand="0" w:firstRowFirstColumn="0" w:firstRowLastColumn="0" w:lastRowFirstColumn="0" w:lastRowLastColumn="0"/>
            <w:tcW w:w="292" w:type="dxa"/>
            <w:vMerge w:val="restart"/>
            <w:tcBorders>
              <w:left w:val="single" w:sz="4" w:space="0" w:color="808080" w:themeColor="background1" w:themeShade="80"/>
            </w:tcBorders>
          </w:tcPr>
          <w:p w:rsidR="00C759C8" w:rsidRPr="007C58E4" w:rsidRDefault="00474E18" w:rsidP="003D7106">
            <w:pPr>
              <w:spacing w:before="0" w:after="0" w:line="240" w:lineRule="auto"/>
              <w:ind w:left="0" w:firstLine="0"/>
              <w:rPr>
                <w:rFonts w:cs="Calibri"/>
                <w:lang w:val="sk-SK"/>
              </w:rPr>
            </w:pPr>
            <w:r w:rsidRPr="007C58E4">
              <w:rPr>
                <w:rFonts w:cs="Calibri"/>
                <w:color w:val="000000"/>
                <w:lang w:val="sk-SK" w:eastAsia="sk-SK"/>
              </w:rPr>
              <w:t>2</w:t>
            </w:r>
            <w:r w:rsidR="00722C1A" w:rsidRPr="007C58E4">
              <w:rPr>
                <w:rFonts w:cs="Calibri"/>
                <w:color w:val="000000"/>
                <w:lang w:val="sk-SK" w:eastAsia="sk-SK"/>
              </w:rPr>
              <w:t>.</w:t>
            </w:r>
          </w:p>
        </w:tc>
        <w:tc>
          <w:tcPr>
            <w:tcW w:w="1272" w:type="dxa"/>
            <w:vMerge w:val="restart"/>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Navrhovaný spôsob realizácie projektu</w:t>
            </w:r>
          </w:p>
        </w:tc>
        <w:tc>
          <w:tcPr>
            <w:tcW w:w="463" w:type="dxa"/>
            <w:vMerge w:val="restart"/>
          </w:tcPr>
          <w:p w:rsidR="00C759C8" w:rsidRPr="007C58E4" w:rsidRDefault="00474E1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2</w:t>
            </w:r>
            <w:r w:rsidR="00C759C8" w:rsidRPr="007C58E4">
              <w:rPr>
                <w:rFonts w:cs="Calibri"/>
                <w:color w:val="000000"/>
                <w:lang w:val="sk-SK"/>
              </w:rPr>
              <w:t>.1</w:t>
            </w:r>
          </w:p>
        </w:tc>
        <w:tc>
          <w:tcPr>
            <w:tcW w:w="1482" w:type="dxa"/>
            <w:vMerge w:val="restart"/>
          </w:tcPr>
          <w:p w:rsidR="00C759C8" w:rsidRPr="007C58E4" w:rsidRDefault="00C759C8"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Vhodnosť a prepojenosť navrhovaných aktivít projektu vo vzťahu k východiskovej situácii a k stanoveným cieľom a výsledkom projektu</w:t>
            </w:r>
          </w:p>
        </w:tc>
        <w:tc>
          <w:tcPr>
            <w:tcW w:w="3723" w:type="dxa"/>
            <w:vMerge w:val="restart"/>
          </w:tcPr>
          <w:p w:rsidR="00C759C8" w:rsidRPr="007C58E4" w:rsidRDefault="00C759C8" w:rsidP="001F1E12">
            <w:pPr>
              <w:spacing w:before="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Posudzuje sa</w:t>
            </w:r>
            <w:r w:rsidR="00474E18" w:rsidRPr="007C58E4">
              <w:rPr>
                <w:rFonts w:cs="Calibri"/>
                <w:lang w:val="sk-SK"/>
              </w:rPr>
              <w:t xml:space="preserve"> riešenie fázy II projektu a aktivity fázy II projektu vo vzťahu,</w:t>
            </w:r>
            <w:r w:rsidRPr="007C58E4">
              <w:rPr>
                <w:rFonts w:cs="Calibri"/>
                <w:lang w:val="sk-SK"/>
              </w:rPr>
              <w:t xml:space="preserve"> či:</w:t>
            </w:r>
          </w:p>
          <w:p w:rsidR="00C759C8" w:rsidRPr="007C58E4" w:rsidRDefault="00C759C8" w:rsidP="001F1E12">
            <w:pPr>
              <w:pStyle w:val="Odsekzoznamu"/>
              <w:numPr>
                <w:ilvl w:val="0"/>
                <w:numId w:val="18"/>
              </w:numPr>
              <w:spacing w:before="0" w:after="0" w:line="240" w:lineRule="auto"/>
              <w:ind w:left="334" w:hanging="334"/>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 xml:space="preserve">bude prostredníctvom realizácie aktivít </w:t>
            </w:r>
            <w:r w:rsidR="00474E18" w:rsidRPr="007C58E4">
              <w:rPr>
                <w:rFonts w:cs="Calibri"/>
                <w:lang w:val="sk-SK"/>
              </w:rPr>
              <w:t>p</w:t>
            </w:r>
            <w:r w:rsidRPr="007C58E4">
              <w:rPr>
                <w:rFonts w:cs="Calibri"/>
                <w:lang w:val="sk-SK"/>
              </w:rPr>
              <w:t>rojektu zabezpečené dosiahnutie relevantných merateľných ukazovateľov uvedených v ŽoNFP vychádzajúcich z</w:t>
            </w:r>
            <w:r w:rsidR="00722C1A" w:rsidRPr="007C58E4">
              <w:rPr>
                <w:rFonts w:cs="Calibri"/>
                <w:lang w:val="sk-SK"/>
              </w:rPr>
              <w:t> </w:t>
            </w:r>
            <w:r w:rsidRPr="007C58E4">
              <w:rPr>
                <w:rFonts w:cs="Calibri"/>
                <w:lang w:val="sk-SK"/>
              </w:rPr>
              <w:t>vyzvania</w:t>
            </w:r>
            <w:r w:rsidR="00722C1A" w:rsidRPr="007C58E4">
              <w:rPr>
                <w:rFonts w:cs="Calibri"/>
                <w:lang w:val="sk-SK"/>
              </w:rPr>
              <w:t xml:space="preserve"> v nadväznosti na hodnoty uvedené v ŽoNFP pre prvú fázu projektu</w:t>
            </w:r>
            <w:r w:rsidRPr="007C58E4">
              <w:rPr>
                <w:rFonts w:cs="Calibri"/>
                <w:lang w:val="sk-SK"/>
              </w:rPr>
              <w:t>,</w:t>
            </w:r>
          </w:p>
          <w:p w:rsidR="00C759C8" w:rsidRPr="007C58E4" w:rsidRDefault="00C759C8" w:rsidP="001F1E12">
            <w:pPr>
              <w:pStyle w:val="Odsekzoznamu"/>
              <w:numPr>
                <w:ilvl w:val="0"/>
                <w:numId w:val="18"/>
              </w:numPr>
              <w:spacing w:before="0" w:after="0" w:line="240" w:lineRule="auto"/>
              <w:ind w:left="291" w:hanging="291"/>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 xml:space="preserve">či navrhované </w:t>
            </w:r>
            <w:r w:rsidRPr="007C58E4">
              <w:rPr>
                <w:rFonts w:cs="Calibri"/>
                <w:lang w:val="sk-SK" w:eastAsia="sk-SK"/>
              </w:rPr>
              <w:t>riešenie projektu vytvára predpoklad pre jeho bezproblémovú realizáciu (ak relevantné)</w:t>
            </w:r>
            <w:r w:rsidRPr="007C58E4">
              <w:rPr>
                <w:rFonts w:cs="Calibri"/>
                <w:lang w:val="sk-SK"/>
              </w:rPr>
              <w:t>.</w:t>
            </w:r>
          </w:p>
          <w:p w:rsidR="00C759C8" w:rsidRPr="007C58E4" w:rsidRDefault="00C759C8"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Nie</w:t>
            </w:r>
          </w:p>
        </w:tc>
        <w:tc>
          <w:tcPr>
            <w:tcW w:w="3186" w:type="dxa"/>
            <w:tcBorders>
              <w:right w:val="single" w:sz="4" w:space="0" w:color="808080" w:themeColor="background1" w:themeShade="80"/>
            </w:tcBorders>
          </w:tcPr>
          <w:p w:rsidR="00C759C8" w:rsidRPr="007C58E4" w:rsidRDefault="00C759C8" w:rsidP="001F1E12">
            <w:pPr>
              <w:spacing w:before="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Projekt vykazuje aspoň jeden z nasledovných nedostatkov:</w:t>
            </w:r>
            <w:r w:rsidRPr="007C58E4">
              <w:rPr>
                <w:rFonts w:cs="Calibri"/>
                <w:lang w:val="sk-SK" w:eastAsia="sk-SK"/>
              </w:rPr>
              <w:t xml:space="preserve"> </w:t>
            </w:r>
          </w:p>
          <w:p w:rsidR="00C759C8" w:rsidRPr="007C58E4" w:rsidRDefault="00C759C8" w:rsidP="001F1E12">
            <w:pPr>
              <w:pStyle w:val="Odsekzoznamu"/>
              <w:numPr>
                <w:ilvl w:val="0"/>
                <w:numId w:val="19"/>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plánované aktivity projektu nevedú k naplneniu realisticky nastavených hodnôt merateľných ukazovateľov alebo stanovené ukazovatele nie sú stanovené správne a ich číselné hodnoty nie sú primerane reálne,</w:t>
            </w:r>
          </w:p>
          <w:p w:rsidR="00C759C8" w:rsidRPr="007C58E4" w:rsidRDefault="00C759C8" w:rsidP="001F1E12">
            <w:pPr>
              <w:pStyle w:val="Odsekzoznamu"/>
              <w:numPr>
                <w:ilvl w:val="0"/>
                <w:numId w:val="19"/>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navrhovaný spôsob realizácie projektu nevytvára podmienky pre jeho bezproblémový priebeh.</w:t>
            </w:r>
          </w:p>
          <w:p w:rsidR="00C759C8" w:rsidRPr="007C58E4" w:rsidRDefault="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p>
        </w:tc>
        <w:tc>
          <w:tcPr>
            <w:tcW w:w="4007" w:type="dxa"/>
            <w:vMerge w:val="restart"/>
            <w:tcBorders>
              <w:left w:val="single" w:sz="4" w:space="0" w:color="808080" w:themeColor="background1" w:themeShade="80"/>
            </w:tcBorders>
          </w:tcPr>
          <w:p w:rsidR="00C759C8" w:rsidRPr="007C58E4"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Odborný hodnotiteľ vyhodnotí </w:t>
            </w:r>
            <w:r w:rsidRPr="007C58E4">
              <w:rPr>
                <w:rFonts w:cs="Calibri"/>
                <w:color w:val="000000"/>
                <w:lang w:val="sk-SK"/>
              </w:rPr>
              <w:t>vhodnosť a prepojenosť navrhovaných aktivít projektu vo vzťahu k východiskovej situácii a k stanoveným cieľom a výsledkom projektu</w:t>
            </w:r>
            <w:r w:rsidRPr="007C58E4">
              <w:rPr>
                <w:rFonts w:cs="Calibri"/>
                <w:lang w:val="sk-SK"/>
              </w:rPr>
              <w:t xml:space="preserve"> v aspektoch a) a b):</w:t>
            </w:r>
          </w:p>
          <w:p w:rsidR="00C759C8" w:rsidRPr="007C58E4" w:rsidRDefault="00C759C8" w:rsidP="00D757F3">
            <w:pPr>
              <w:pStyle w:val="Odsekzoznamu"/>
              <w:numPr>
                <w:ilvl w:val="0"/>
                <w:numId w:val="10"/>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posúdi relevantnosť vo vzťahu </w:t>
            </w:r>
            <w:r w:rsidR="00D757F3" w:rsidRPr="007C58E4">
              <w:rPr>
                <w:rFonts w:cs="Calibri"/>
                <w:lang w:val="sk-SK"/>
              </w:rPr>
              <w:t xml:space="preserve">k </w:t>
            </w:r>
            <w:r w:rsidRPr="007C58E4">
              <w:rPr>
                <w:rFonts w:cs="Calibri"/>
                <w:lang w:val="sk-SK"/>
              </w:rPr>
              <w:t xml:space="preserve">potrebám </w:t>
            </w:r>
            <w:r w:rsidR="00D757F3" w:rsidRPr="007C58E4">
              <w:rPr>
                <w:rFonts w:cs="Calibri"/>
                <w:lang w:val="sk-SK"/>
              </w:rPr>
              <w:t xml:space="preserve"> </w:t>
            </w:r>
            <w:r w:rsidRPr="007C58E4">
              <w:rPr>
                <w:rFonts w:cs="Calibri"/>
                <w:lang w:val="sk-SK"/>
              </w:rPr>
              <w:t xml:space="preserve">cieľových skupín v cieľovom území na základe svojich odborných </w:t>
            </w:r>
            <w:r w:rsidR="00D757F3" w:rsidRPr="007C58E4">
              <w:rPr>
                <w:rFonts w:cs="Calibri"/>
                <w:lang w:val="sk-SK"/>
              </w:rPr>
              <w:t>znalostí</w:t>
            </w:r>
            <w:r w:rsidRPr="007C58E4">
              <w:rPr>
                <w:rFonts w:cs="Calibri"/>
                <w:lang w:val="sk-SK"/>
              </w:rPr>
              <w:t>, na základe znalosti tematického zamerania príslušnej oblasti podpory OPII</w:t>
            </w:r>
          </w:p>
          <w:p w:rsidR="00C759C8" w:rsidRPr="007C58E4" w:rsidRDefault="00C759C8" w:rsidP="00BB1FC8">
            <w:pPr>
              <w:pStyle w:val="Odsekzoznamu"/>
              <w:numPr>
                <w:ilvl w:val="0"/>
                <w:numId w:val="10"/>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eastAsiaTheme="minorHAnsi" w:cs="Calibri"/>
                <w:b/>
                <w:szCs w:val="22"/>
                <w:lang w:val="sk-SK"/>
              </w:rPr>
            </w:pPr>
            <w:r w:rsidRPr="007C58E4">
              <w:rPr>
                <w:rFonts w:cs="Calibri"/>
                <w:lang w:val="sk-SK"/>
              </w:rPr>
              <w:t>posúdi či proje</w:t>
            </w:r>
            <w:r w:rsidR="00A6319E" w:rsidRPr="007C58E4">
              <w:rPr>
                <w:rFonts w:cs="Calibri"/>
                <w:lang w:val="sk-SK"/>
              </w:rPr>
              <w:t>k</w:t>
            </w:r>
            <w:r w:rsidRPr="007C58E4">
              <w:rPr>
                <w:rFonts w:cs="Calibri"/>
                <w:lang w:val="sk-SK"/>
              </w:rPr>
              <w:t>t</w:t>
            </w:r>
            <w:r w:rsidR="000B5FF2" w:rsidRPr="007C58E4">
              <w:rPr>
                <w:rFonts w:cs="Calibri"/>
                <w:lang w:val="sk-SK"/>
              </w:rPr>
              <w:t xml:space="preserve"> (druhá fáza)</w:t>
            </w:r>
            <w:r w:rsidRPr="007C58E4">
              <w:rPr>
                <w:rFonts w:cs="Calibri"/>
                <w:lang w:val="sk-SK"/>
              </w:rPr>
              <w:t xml:space="preserve"> </w:t>
            </w:r>
            <w:r w:rsidRPr="007C58E4">
              <w:rPr>
                <w:rFonts w:cs="Calibri"/>
                <w:b/>
                <w:lang w:val="sk-SK"/>
              </w:rPr>
              <w:t>vhodným spôsobom nadväzuje na</w:t>
            </w:r>
            <w:r w:rsidR="00A6319E" w:rsidRPr="007C58E4">
              <w:rPr>
                <w:rFonts w:cs="Calibri"/>
                <w:b/>
                <w:lang w:val="sk-SK"/>
              </w:rPr>
              <w:t xml:space="preserve"> už realizované</w:t>
            </w:r>
            <w:r w:rsidRPr="007C58E4">
              <w:rPr>
                <w:rFonts w:cs="Calibri"/>
                <w:b/>
                <w:lang w:val="sk-SK"/>
              </w:rPr>
              <w:t xml:space="preserve"> aktivit</w:t>
            </w:r>
            <w:r w:rsidR="00A6319E" w:rsidRPr="007C58E4">
              <w:rPr>
                <w:rFonts w:cs="Calibri"/>
                <w:b/>
                <w:lang w:val="sk-SK"/>
              </w:rPr>
              <w:t>y prvej fázy projektu</w:t>
            </w:r>
          </w:p>
          <w:p w:rsidR="00C759C8" w:rsidRPr="007C58E4" w:rsidRDefault="00C759C8" w:rsidP="00C759C8">
            <w:pPr>
              <w:pStyle w:val="Odsekzoznamu"/>
              <w:numPr>
                <w:ilvl w:val="0"/>
                <w:numId w:val="10"/>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posúdi či je prostredníctvom realizácie </w:t>
            </w:r>
            <w:r w:rsidRPr="007C58E4">
              <w:rPr>
                <w:rFonts w:cs="Calibri"/>
                <w:lang w:val="sk-SK"/>
              </w:rPr>
              <w:lastRenderedPageBreak/>
              <w:t xml:space="preserve">navrhovaných hlavných aktivít projektu možné reálne predpokladať dosiahnutie cieľových hodnôt merateľných ukazovateľov </w:t>
            </w:r>
            <w:r w:rsidR="00A6319E" w:rsidRPr="007C58E4">
              <w:rPr>
                <w:rFonts w:cs="Calibri"/>
                <w:lang w:val="sk-SK"/>
              </w:rPr>
              <w:t xml:space="preserve">fázovaného </w:t>
            </w:r>
            <w:r w:rsidRPr="007C58E4">
              <w:rPr>
                <w:rFonts w:cs="Calibri"/>
                <w:lang w:val="sk-SK"/>
              </w:rPr>
              <w:t>projektu</w:t>
            </w:r>
            <w:r w:rsidR="000B5FF2" w:rsidRPr="007C58E4">
              <w:rPr>
                <w:rFonts w:cs="Calibri"/>
                <w:lang w:val="sk-SK"/>
              </w:rPr>
              <w:t xml:space="preserve"> a naplnenie celkového cieľa projektu (spoločného pre obe </w:t>
            </w:r>
            <w:r w:rsidR="00D757F3" w:rsidRPr="007C58E4">
              <w:rPr>
                <w:rFonts w:cs="Calibri"/>
                <w:lang w:val="sk-SK"/>
              </w:rPr>
              <w:t xml:space="preserve">fázy </w:t>
            </w:r>
            <w:r w:rsidR="000B5FF2" w:rsidRPr="007C58E4">
              <w:rPr>
                <w:rFonts w:cs="Calibri"/>
                <w:lang w:val="sk-SK"/>
              </w:rPr>
              <w:t>projektu)</w:t>
            </w:r>
            <w:r w:rsidRPr="007C58E4">
              <w:rPr>
                <w:rFonts w:cs="Calibri"/>
                <w:lang w:val="sk-SK"/>
              </w:rPr>
              <w:t xml:space="preserve">. </w:t>
            </w:r>
          </w:p>
          <w:p w:rsidR="00C759C8" w:rsidRPr="007C58E4" w:rsidRDefault="00C759C8" w:rsidP="00BB336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lang w:val="sk-SK"/>
              </w:rPr>
              <w:t xml:space="preserve">Odborný hodnotiteľ vždy zdôvodní svoju odpoveď </w:t>
            </w:r>
            <w:r w:rsidRPr="007C58E4">
              <w:rPr>
                <w:rFonts w:cs="Calibri"/>
                <w:b/>
                <w:szCs w:val="22"/>
                <w:lang w:val="sk-SK"/>
              </w:rPr>
              <w:t xml:space="preserve">„ÁNO“ / “NIE” </w:t>
            </w:r>
            <w:r w:rsidRPr="007C58E4">
              <w:rPr>
                <w:rFonts w:cs="Calibri"/>
                <w:b/>
                <w:lang w:val="sk-SK"/>
              </w:rPr>
              <w:t>v Hodnotiacom hárku odborného hodnotenia</w:t>
            </w:r>
            <w:r w:rsidRPr="007C58E4">
              <w:rPr>
                <w:rFonts w:cs="Calibri"/>
                <w:lang w:val="sk-SK"/>
              </w:rPr>
              <w:t xml:space="preserve"> </w:t>
            </w:r>
            <w:r w:rsidRPr="007C58E4">
              <w:rPr>
                <w:rFonts w:cs="Calibri"/>
                <w:b/>
                <w:lang w:val="sk-SK"/>
              </w:rPr>
              <w:t>v časti Komentár a súčasne uvedie odkaz na dokument vrátane relevantnej časti</w:t>
            </w:r>
            <w:r w:rsidRPr="007C58E4">
              <w:rPr>
                <w:rFonts w:cs="Calibri"/>
                <w:lang w:val="sk-SK"/>
              </w:rPr>
              <w:t xml:space="preserve"> (ŽoNFP a relevantnej prílohy a pod.), na základe ktorej bolo vykonané hodnotenie. </w:t>
            </w:r>
          </w:p>
          <w:p w:rsidR="00C759C8" w:rsidRPr="007C58E4" w:rsidRDefault="00C759C8" w:rsidP="00BB336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szCs w:val="22"/>
                <w:lang w:val="sk-SK"/>
              </w:rPr>
              <w:t xml:space="preserve">Projekt </w:t>
            </w:r>
            <w:r w:rsidRPr="007C58E4">
              <w:rPr>
                <w:rFonts w:cs="Calibri"/>
                <w:b/>
                <w:szCs w:val="22"/>
                <w:lang w:val="sk-SK"/>
              </w:rPr>
              <w:t>vyhovie</w:t>
            </w:r>
            <w:r w:rsidRPr="007C58E4">
              <w:rPr>
                <w:rFonts w:cs="Calibri"/>
                <w:szCs w:val="22"/>
                <w:lang w:val="sk-SK"/>
              </w:rPr>
              <w:t xml:space="preserve">, ak na hodnotiacu otázku pre každú z relevantných usmerňujúcich bodov a) - d) odborný hodnotiteľ odpovie </w:t>
            </w:r>
            <w:r w:rsidRPr="007C58E4">
              <w:rPr>
                <w:rFonts w:cs="Calibri"/>
                <w:b/>
                <w:szCs w:val="22"/>
                <w:lang w:val="sk-SK"/>
              </w:rPr>
              <w:t xml:space="preserve">„ÁNO“. </w:t>
            </w:r>
          </w:p>
          <w:p w:rsidR="00C759C8" w:rsidRPr="007C58E4" w:rsidRDefault="00C759C8"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 xml:space="preserve">V prípade, že odborný hodnotiteľ minimálne na jeden z bodov a) – d)  </w:t>
            </w:r>
            <w:r w:rsidRPr="007C58E4">
              <w:rPr>
                <w:rFonts w:cs="Calibri"/>
                <w:lang w:val="sk-SK"/>
              </w:rPr>
              <w:t>odpovie</w:t>
            </w:r>
            <w:r w:rsidRPr="007C58E4">
              <w:rPr>
                <w:rFonts w:cs="Calibri"/>
                <w:b/>
                <w:lang w:val="sk-SK"/>
              </w:rPr>
              <w:t xml:space="preserve"> “NIE”</w:t>
            </w:r>
            <w:r w:rsidRPr="007C58E4">
              <w:rPr>
                <w:rFonts w:cs="Calibri"/>
                <w:lang w:val="sk-SK"/>
              </w:rPr>
              <w:t xml:space="preserve"> </w:t>
            </w:r>
            <w:r w:rsidRPr="007C58E4">
              <w:rPr>
                <w:rFonts w:cs="Calibri"/>
                <w:color w:val="000000"/>
                <w:lang w:val="sk-SK" w:eastAsia="sk-SK"/>
              </w:rPr>
              <w:t xml:space="preserve"> je ŽoNFP vyradená zo schvaľovacieho procesu.</w:t>
            </w:r>
          </w:p>
        </w:tc>
      </w:tr>
      <w:tr w:rsidR="00C759C8" w:rsidRPr="007C58E4" w:rsidTr="000572BD">
        <w:trPr>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vAlign w:val="center"/>
          </w:tcPr>
          <w:p w:rsidR="00C759C8" w:rsidRPr="007C58E4" w:rsidRDefault="00C759C8" w:rsidP="003D7106">
            <w:pPr>
              <w:spacing w:before="0" w:after="0" w:line="240" w:lineRule="auto"/>
              <w:ind w:left="0" w:firstLine="0"/>
              <w:rPr>
                <w:rFonts w:cs="Calibri"/>
                <w:lang w:val="sk-SK"/>
              </w:rPr>
            </w:pPr>
          </w:p>
        </w:tc>
        <w:tc>
          <w:tcPr>
            <w:tcW w:w="127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Áno</w:t>
            </w:r>
          </w:p>
        </w:tc>
        <w:tc>
          <w:tcPr>
            <w:tcW w:w="3186" w:type="dxa"/>
            <w:tcBorders>
              <w:right w:val="single" w:sz="4" w:space="0" w:color="808080" w:themeColor="background1" w:themeShade="80"/>
            </w:tcBorders>
          </w:tcPr>
          <w:p w:rsidR="00C759C8" w:rsidRPr="007C58E4" w:rsidRDefault="00C759C8" w:rsidP="001F1E12">
            <w:pPr>
              <w:pStyle w:val="Tabtext"/>
              <w:cnfStyle w:val="000000000000" w:firstRow="0" w:lastRow="0" w:firstColumn="0" w:lastColumn="0" w:oddVBand="0" w:evenVBand="0" w:oddHBand="0" w:evenHBand="0" w:firstRowFirstColumn="0" w:firstRowLastColumn="0" w:lastRowFirstColumn="0" w:lastRowLastColumn="0"/>
              <w:rPr>
                <w:rFonts w:cs="Calibri"/>
                <w:sz w:val="20"/>
                <w:lang w:val="sk-SK" w:eastAsia="en-US" w:bidi="en-US"/>
              </w:rPr>
            </w:pPr>
            <w:r w:rsidRPr="007C58E4">
              <w:rPr>
                <w:rFonts w:cs="Calibri"/>
                <w:sz w:val="20"/>
                <w:lang w:val="sk-SK" w:eastAsia="en-US" w:bidi="en-US"/>
              </w:rPr>
              <w:t xml:space="preserve">Plánované aktivity projektu </w:t>
            </w:r>
            <w:r w:rsidRPr="007C58E4">
              <w:rPr>
                <w:rFonts w:cs="Calibri"/>
                <w:b/>
                <w:sz w:val="20"/>
                <w:lang w:val="sk-SK" w:eastAsia="en-US" w:bidi="en-US"/>
              </w:rPr>
              <w:t>vedú</w:t>
            </w:r>
            <w:r w:rsidRPr="007C58E4">
              <w:rPr>
                <w:rFonts w:cs="Calibri"/>
                <w:sz w:val="20"/>
                <w:lang w:val="sk-SK" w:eastAsia="en-US" w:bidi="en-US"/>
              </w:rPr>
              <w:t xml:space="preserve"> k </w:t>
            </w:r>
            <w:r w:rsidRPr="007C58E4">
              <w:rPr>
                <w:rFonts w:cs="Calibri"/>
                <w:sz w:val="20"/>
                <w:lang w:val="sk-SK" w:eastAsia="en-US" w:bidi="en-US"/>
              </w:rPr>
              <w:lastRenderedPageBreak/>
              <w:t>naplneniu realisticky nastavených hodnôt merateľných ukazovateľov.</w:t>
            </w:r>
          </w:p>
          <w:p w:rsidR="00C759C8" w:rsidRPr="007C58E4" w:rsidRDefault="00C759C8" w:rsidP="001F1E1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r w:rsidRPr="007C58E4">
              <w:rPr>
                <w:rFonts w:cs="Calibri"/>
                <w:b/>
                <w:lang w:val="sk-SK"/>
              </w:rPr>
              <w:t xml:space="preserve">Sú </w:t>
            </w:r>
            <w:r w:rsidRPr="007C58E4">
              <w:rPr>
                <w:rFonts w:cs="Calibri"/>
                <w:lang w:val="sk-SK"/>
              </w:rPr>
              <w:t>popísané všetky potenciálne riziká a prijaté opatrenia, ktoré by inak mohli narušiť bezproblémovú realizáciu projektu.</w:t>
            </w:r>
          </w:p>
        </w:tc>
        <w:tc>
          <w:tcPr>
            <w:tcW w:w="4007" w:type="dxa"/>
            <w:vMerge/>
            <w:tcBorders>
              <w:left w:val="single" w:sz="4" w:space="0" w:color="808080" w:themeColor="background1" w:themeShade="80"/>
            </w:tcBorders>
          </w:tcPr>
          <w:p w:rsidR="00C759C8" w:rsidRPr="007C58E4" w:rsidRDefault="00C759C8"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eastAsia="sk-SK"/>
              </w:rPr>
            </w:pPr>
          </w:p>
        </w:tc>
      </w:tr>
      <w:tr w:rsidR="00C759C8" w:rsidRPr="007C58E4" w:rsidTr="006F6F7E">
        <w:trPr>
          <w:trHeight w:hRule="exact" w:val="4219"/>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tcPr>
          <w:p w:rsidR="00C759C8" w:rsidRPr="007C58E4" w:rsidRDefault="00C759C8" w:rsidP="003D7106">
            <w:pPr>
              <w:spacing w:before="0" w:after="0" w:line="240" w:lineRule="auto"/>
              <w:ind w:left="0" w:firstLine="0"/>
              <w:jc w:val="both"/>
              <w:rPr>
                <w:rFonts w:cs="Calibri"/>
                <w:lang w:val="sk-SK"/>
              </w:rPr>
            </w:pPr>
          </w:p>
        </w:tc>
        <w:tc>
          <w:tcPr>
            <w:tcW w:w="1272" w:type="dxa"/>
            <w:vMerge/>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val="restart"/>
          </w:tcPr>
          <w:p w:rsidR="00C759C8" w:rsidRPr="007C58E4" w:rsidRDefault="00683930"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2</w:t>
            </w:r>
            <w:r w:rsidR="00C759C8" w:rsidRPr="007C58E4">
              <w:rPr>
                <w:rFonts w:cs="Calibri"/>
                <w:color w:val="000000"/>
                <w:lang w:val="sk-SK"/>
              </w:rPr>
              <w:t>.2</w:t>
            </w:r>
          </w:p>
        </w:tc>
        <w:tc>
          <w:tcPr>
            <w:tcW w:w="1482" w:type="dxa"/>
            <w:vMerge w:val="restart"/>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Reálnosť aktivít projektu vo vzťahu k navrhovanému časovému harmonogramu projektu</w:t>
            </w:r>
          </w:p>
        </w:tc>
        <w:tc>
          <w:tcPr>
            <w:tcW w:w="3723" w:type="dxa"/>
            <w:vMerge w:val="restart"/>
          </w:tcPr>
          <w:p w:rsidR="00C759C8" w:rsidRPr="007C58E4" w:rsidRDefault="00C759C8" w:rsidP="001F1E12">
            <w:pPr>
              <w:pStyle w:val="Tabtext"/>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 xml:space="preserve">Posudzuje sa reálnosť časového harmonogramu realizácie všetkých aktivít </w:t>
            </w:r>
            <w:r w:rsidR="00722C1A" w:rsidRPr="007C58E4">
              <w:rPr>
                <w:rFonts w:cs="Calibri"/>
                <w:sz w:val="20"/>
                <w:lang w:val="sk-SK"/>
              </w:rPr>
              <w:t xml:space="preserve">fázy II </w:t>
            </w:r>
            <w:r w:rsidRPr="007C58E4">
              <w:rPr>
                <w:rFonts w:cs="Calibri"/>
                <w:sz w:val="20"/>
                <w:lang w:val="sk-SK"/>
              </w:rPr>
              <w:t xml:space="preserve">projektu (hlavných aj podporných) v programovom období 2014 - 2020. </w:t>
            </w:r>
          </w:p>
          <w:p w:rsidR="00C759C8" w:rsidRPr="007C58E4" w:rsidRDefault="00C759C8" w:rsidP="00C759C8">
            <w:pPr>
              <w:pStyle w:val="Tabtext"/>
              <w:cnfStyle w:val="000000000000" w:firstRow="0" w:lastRow="0" w:firstColumn="0" w:lastColumn="0" w:oddVBand="0" w:evenVBand="0" w:oddHBand="0" w:evenHBand="0" w:firstRowFirstColumn="0" w:firstRowLastColumn="0" w:lastRowFirstColumn="0" w:lastRowLastColumn="0"/>
              <w:rPr>
                <w:rFonts w:cs="Calibri"/>
                <w:sz w:val="20"/>
                <w:lang w:val="sk-SK"/>
              </w:rPr>
            </w:pPr>
          </w:p>
          <w:p w:rsidR="00C759C8" w:rsidRPr="007C58E4" w:rsidRDefault="00C759C8" w:rsidP="001F1E12">
            <w:pPr>
              <w:pStyle w:val="Tabtext"/>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 xml:space="preserve">Predmetom hodnotenia je posúdenie, či etapizácia aktivít </w:t>
            </w:r>
            <w:r w:rsidR="004834CA" w:rsidRPr="007C58E4">
              <w:rPr>
                <w:rFonts w:cs="Calibri"/>
                <w:sz w:val="20"/>
                <w:lang w:val="sk-SK"/>
              </w:rPr>
              <w:t xml:space="preserve">navrhovaných na realizáciu v rámci OPII </w:t>
            </w:r>
            <w:r w:rsidRPr="007C58E4">
              <w:rPr>
                <w:rFonts w:cs="Calibri"/>
                <w:sz w:val="20"/>
                <w:lang w:val="sk-SK"/>
              </w:rPr>
              <w:t>je:</w:t>
            </w:r>
          </w:p>
          <w:p w:rsidR="00C759C8" w:rsidRPr="007C58E4" w:rsidRDefault="00C759C8" w:rsidP="001F1E12">
            <w:pPr>
              <w:pStyle w:val="Tabtext"/>
              <w:numPr>
                <w:ilvl w:val="0"/>
                <w:numId w:val="20"/>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 xml:space="preserve">súladná z hľadiska aktivít a termínov uvádzaných v celej dokumentácii </w:t>
            </w:r>
            <w:r w:rsidR="001F1E12" w:rsidRPr="007C58E4">
              <w:rPr>
                <w:rFonts w:cs="Calibri"/>
                <w:sz w:val="20"/>
                <w:lang w:val="sk-SK"/>
              </w:rPr>
              <w:t>Žo</w:t>
            </w:r>
            <w:r w:rsidRPr="007C58E4">
              <w:rPr>
                <w:rFonts w:cs="Calibri"/>
                <w:sz w:val="20"/>
                <w:lang w:val="sk-SK"/>
              </w:rPr>
              <w:t xml:space="preserve">NFP (súlad termínov v </w:t>
            </w:r>
            <w:r w:rsidR="001F1E12" w:rsidRPr="007C58E4">
              <w:rPr>
                <w:rFonts w:cs="Calibri"/>
                <w:sz w:val="20"/>
                <w:lang w:val="sk-SK"/>
              </w:rPr>
              <w:t>Žo</w:t>
            </w:r>
            <w:r w:rsidRPr="007C58E4">
              <w:rPr>
                <w:rFonts w:cs="Calibri"/>
                <w:sz w:val="20"/>
                <w:lang w:val="sk-SK"/>
              </w:rPr>
              <w:t>NFP a priložených povoleniach/vyjadreniach)</w:t>
            </w:r>
            <w:r w:rsidR="00F9460F" w:rsidRPr="007C58E4">
              <w:rPr>
                <w:rFonts w:cs="Calibri"/>
                <w:sz w:val="20"/>
                <w:lang w:val="sk-SK"/>
              </w:rPr>
              <w:t>,</w:t>
            </w:r>
          </w:p>
          <w:p w:rsidR="00C759C8" w:rsidRPr="007C58E4" w:rsidRDefault="00C759C8" w:rsidP="001F1E12">
            <w:pPr>
              <w:pStyle w:val="Tabtext"/>
              <w:numPr>
                <w:ilvl w:val="0"/>
                <w:numId w:val="20"/>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logická z hľadiska časovej následnosti realizácie aktivít projektu</w:t>
            </w:r>
            <w:r w:rsidR="00F9460F" w:rsidRPr="007C58E4">
              <w:rPr>
                <w:rFonts w:cs="Calibri"/>
                <w:sz w:val="20"/>
                <w:lang w:val="sk-SK"/>
              </w:rPr>
              <w:t>,</w:t>
            </w:r>
          </w:p>
          <w:p w:rsidR="00C759C8" w:rsidRPr="007C58E4" w:rsidRDefault="00C759C8" w:rsidP="001F1E12">
            <w:pPr>
              <w:pStyle w:val="Tabtext"/>
              <w:numPr>
                <w:ilvl w:val="0"/>
                <w:numId w:val="20"/>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 xml:space="preserve">realistická vo vzťahu k trvaniu jednotlivých aktivít a k ich výstupom (dodržanie lehôt schvaľovacích konaní, </w:t>
            </w:r>
            <w:r w:rsidRPr="007C58E4">
              <w:rPr>
                <w:rFonts w:cs="Calibri"/>
                <w:sz w:val="20"/>
                <w:lang w:val="sk-SK"/>
              </w:rPr>
              <w:lastRenderedPageBreak/>
              <w:t>stavebných povolení, postupov  verejného obstarávania a pod)</w:t>
            </w:r>
            <w:r w:rsidR="00F9460F" w:rsidRPr="007C58E4">
              <w:rPr>
                <w:rFonts w:cs="Calibri"/>
                <w:sz w:val="20"/>
                <w:lang w:val="sk-SK"/>
              </w:rPr>
              <w:t>.</w:t>
            </w:r>
          </w:p>
          <w:p w:rsidR="00C759C8" w:rsidRPr="007C58E4" w:rsidRDefault="00C759C8" w:rsidP="0018430C">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lastRenderedPageBreak/>
              <w:t>Nie</w:t>
            </w:r>
          </w:p>
        </w:tc>
        <w:tc>
          <w:tcPr>
            <w:tcW w:w="3186" w:type="dxa"/>
            <w:tcBorders>
              <w:right w:val="single" w:sz="4" w:space="0" w:color="808080" w:themeColor="background1" w:themeShade="80"/>
            </w:tcBorders>
          </w:tcPr>
          <w:p w:rsidR="00C759C8" w:rsidRPr="007C58E4" w:rsidRDefault="00C759C8" w:rsidP="001F1E12">
            <w:pPr>
              <w:spacing w:before="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Etapizácia projektu obsa</w:t>
            </w:r>
            <w:r w:rsidRPr="007C58E4">
              <w:rPr>
                <w:rFonts w:cs="Calibri"/>
                <w:color w:val="000000"/>
                <w:lang w:val="sk-SK"/>
              </w:rPr>
              <w:t>huje aspoň jeden z nasledovných nedostatkov, ktorý môže mať vplyv na dodržanie celkovej stanovenej dĺžky realizácie projektu</w:t>
            </w:r>
            <w:r w:rsidR="001F1E12" w:rsidRPr="007C58E4">
              <w:rPr>
                <w:rFonts w:cs="Calibri"/>
                <w:color w:val="000000"/>
                <w:lang w:val="sk-SK"/>
              </w:rPr>
              <w:t xml:space="preserve"> </w:t>
            </w:r>
            <w:r w:rsidRPr="007C58E4">
              <w:rPr>
                <w:rFonts w:cs="Calibri"/>
                <w:color w:val="000000"/>
                <w:lang w:val="sk-SK"/>
              </w:rPr>
              <w:t>a/alebo ohrozenie dosiahnutia cieľa a výsledkov projektu v programovom období 2014 - 2020:</w:t>
            </w:r>
            <w:r w:rsidRPr="007C58E4">
              <w:rPr>
                <w:rFonts w:cs="Calibri"/>
                <w:lang w:val="sk-SK" w:eastAsia="sk-SK"/>
              </w:rPr>
              <w:t xml:space="preserve"> </w:t>
            </w:r>
          </w:p>
          <w:p w:rsidR="00C759C8" w:rsidRPr="007C58E4" w:rsidRDefault="00C759C8" w:rsidP="001F1E12">
            <w:pPr>
              <w:pStyle w:val="Odsekzoznamu"/>
              <w:numPr>
                <w:ilvl w:val="0"/>
                <w:numId w:val="21"/>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eastAsiaTheme="minorHAnsi" w:cs="Calibri"/>
                <w:color w:val="000000"/>
                <w:szCs w:val="22"/>
                <w:lang w:val="sk-SK"/>
              </w:rPr>
            </w:pPr>
            <w:r w:rsidRPr="007C58E4">
              <w:rPr>
                <w:rFonts w:cs="Calibri"/>
                <w:color w:val="000000"/>
                <w:lang w:val="sk-SK"/>
              </w:rPr>
              <w:t>obsahuje časovo nevhodne (nelogicky) nadväzujúce aktivity projektu,</w:t>
            </w:r>
          </w:p>
          <w:p w:rsidR="00D757F3" w:rsidRPr="007C58E4" w:rsidRDefault="00C759C8" w:rsidP="001F1E12">
            <w:pPr>
              <w:pStyle w:val="Odsekzoznamu"/>
              <w:numPr>
                <w:ilvl w:val="0"/>
                <w:numId w:val="21"/>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eastAsiaTheme="minorHAnsi" w:cs="Calibri"/>
                <w:color w:val="000000"/>
                <w:szCs w:val="22"/>
                <w:lang w:val="sk-SK"/>
              </w:rPr>
            </w:pPr>
            <w:r w:rsidRPr="007C58E4">
              <w:rPr>
                <w:rFonts w:cs="Calibri"/>
                <w:color w:val="000000"/>
                <w:lang w:val="sk-SK"/>
              </w:rPr>
              <w:t xml:space="preserve">dĺžka realizácie aspoň jednej z hlavných aktivít projektu nerešpektuje predpismi stanovené lehoty realizácie a/alebo je zreteľne časovo nereálna. </w:t>
            </w:r>
          </w:p>
        </w:tc>
        <w:tc>
          <w:tcPr>
            <w:tcW w:w="4007" w:type="dxa"/>
            <w:vMerge w:val="restart"/>
            <w:tcBorders>
              <w:left w:val="single" w:sz="4" w:space="0" w:color="808080" w:themeColor="background1" w:themeShade="80"/>
            </w:tcBorders>
          </w:tcPr>
          <w:p w:rsidR="00C759C8" w:rsidRPr="007C58E4"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Odborný hodnotiteľ v rámci tohto kritéria komplexne posúdi navrhovaný časový harmonogram </w:t>
            </w:r>
            <w:r w:rsidR="00722C1A" w:rsidRPr="007C58E4">
              <w:rPr>
                <w:rFonts w:cs="Calibri"/>
                <w:lang w:val="sk-SK"/>
              </w:rPr>
              <w:t xml:space="preserve">fázy II </w:t>
            </w:r>
            <w:r w:rsidRPr="007C58E4">
              <w:rPr>
                <w:rFonts w:cs="Calibri"/>
                <w:lang w:val="sk-SK"/>
              </w:rPr>
              <w:t xml:space="preserve">projektu, ktorý je žiadateľom vypracovaný na úrovni jednotlivých aktivít projektu a to v súlade s časovými údajmi uvádzanými v častiach dokumentácie </w:t>
            </w:r>
            <w:r w:rsidR="000B5FF2" w:rsidRPr="007C58E4">
              <w:rPr>
                <w:rFonts w:cs="Calibri"/>
                <w:lang w:val="sk-SK"/>
              </w:rPr>
              <w:t>ŽoNFP</w:t>
            </w:r>
            <w:r w:rsidRPr="007C58E4">
              <w:rPr>
                <w:rFonts w:cs="Calibri"/>
                <w:lang w:val="sk-SK"/>
              </w:rPr>
              <w:t xml:space="preserve"> a jej príloh, napr. stavebné povolenie, zmluva o dielo z ukončeného procesu verejného obstarávania a pod.:</w:t>
            </w:r>
          </w:p>
          <w:p w:rsidR="00C759C8" w:rsidRPr="007C58E4" w:rsidRDefault="00C759C8" w:rsidP="00BB1FC8">
            <w:pPr>
              <w:pStyle w:val="Odsekzoznamu"/>
              <w:numPr>
                <w:ilvl w:val="0"/>
                <w:numId w:val="11"/>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posúdi</w:t>
            </w:r>
            <w:r w:rsidR="000B5FF2" w:rsidRPr="007C58E4">
              <w:rPr>
                <w:rFonts w:cs="Calibri"/>
                <w:color w:val="000000"/>
                <w:lang w:val="sk-SK"/>
              </w:rPr>
              <w:t>,</w:t>
            </w:r>
            <w:r w:rsidRPr="007C58E4">
              <w:rPr>
                <w:rFonts w:cs="Calibri"/>
                <w:color w:val="000000"/>
                <w:lang w:val="sk-SK"/>
              </w:rPr>
              <w:t xml:space="preserve"> či je etapizácia projektu vnútorne súladná, aktivity sú logicky nadväzujúce a nastavené realisticky z hľadiska ich trvania, časový harmonogram projektu je realistický z hľadiska dosiahnutia výstupov projektu</w:t>
            </w:r>
            <w:r w:rsidRPr="007C58E4">
              <w:rPr>
                <w:rFonts w:cs="Calibri"/>
                <w:lang w:val="sk-SK"/>
              </w:rPr>
              <w:t>,</w:t>
            </w:r>
          </w:p>
          <w:p w:rsidR="00C759C8" w:rsidRPr="007C58E4" w:rsidRDefault="00C759C8" w:rsidP="00BB1FC8">
            <w:pPr>
              <w:pStyle w:val="Odsekzoznamu"/>
              <w:numPr>
                <w:ilvl w:val="0"/>
                <w:numId w:val="11"/>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color w:val="000000"/>
                <w:lang w:val="sk-SK"/>
              </w:rPr>
              <w:t xml:space="preserve">posúdi predpokladané dodržanie lehôt , resp. termínov uvedených v relevantných </w:t>
            </w:r>
            <w:r w:rsidR="000134BF" w:rsidRPr="007C58E4">
              <w:rPr>
                <w:rFonts w:cs="Calibri"/>
                <w:color w:val="000000"/>
                <w:lang w:val="sk-SK"/>
              </w:rPr>
              <w:t>prílohách</w:t>
            </w:r>
            <w:r w:rsidRPr="007C58E4">
              <w:rPr>
                <w:rFonts w:cs="Calibri"/>
                <w:color w:val="000000"/>
                <w:lang w:val="sk-SK"/>
              </w:rPr>
              <w:t xml:space="preserve"> ŽoNFP</w:t>
            </w:r>
            <w:r w:rsidR="000B5FF2" w:rsidRPr="007C58E4">
              <w:rPr>
                <w:rFonts w:cs="Calibri"/>
                <w:color w:val="000000"/>
                <w:lang w:val="sk-SK"/>
              </w:rPr>
              <w:t xml:space="preserve"> a či je možné projekt (druhú </w:t>
            </w:r>
            <w:r w:rsidR="000B5FF2" w:rsidRPr="007C58E4">
              <w:rPr>
                <w:rFonts w:cs="Calibri"/>
                <w:color w:val="000000"/>
                <w:lang w:val="sk-SK"/>
              </w:rPr>
              <w:lastRenderedPageBreak/>
              <w:t>fázu) ukončiť  v rámci programového obdobia 2014 – 2020,</w:t>
            </w:r>
          </w:p>
          <w:p w:rsidR="000B5FF2" w:rsidRPr="007C58E4" w:rsidRDefault="000B5FF2" w:rsidP="00BB1FC8">
            <w:pPr>
              <w:pStyle w:val="Odsekzoznamu"/>
              <w:numPr>
                <w:ilvl w:val="0"/>
                <w:numId w:val="11"/>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color w:val="000000"/>
                <w:lang w:val="sk-SK"/>
              </w:rPr>
              <w:t>posúdi nadväznosť harmonogramu druhej fázy projektu na harmonogram aktivít prvej fázy projektu (na základe informácií uvedených o prvej fáze projektu v ŽoNFP, resp. v zmluve o poskytnutí NFP na prvú fázu projektu).</w:t>
            </w:r>
          </w:p>
          <w:p w:rsidR="00C759C8" w:rsidRPr="007C58E4" w:rsidRDefault="00C759C8" w:rsidP="0088064F">
            <w:pPr>
              <w:pStyle w:val="Odsekzoznamu"/>
              <w:spacing w:before="0" w:after="0" w:line="240" w:lineRule="auto"/>
              <w:ind w:left="256"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rPr>
            </w:pPr>
          </w:p>
          <w:p w:rsidR="00C759C8" w:rsidRPr="007C58E4" w:rsidRDefault="00C759C8" w:rsidP="00925993">
            <w:pPr>
              <w:pStyle w:val="Odsekzoznamu"/>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
                <w:lang w:val="sk-SK"/>
              </w:rPr>
            </w:pPr>
            <w:r w:rsidRPr="007C58E4">
              <w:rPr>
                <w:rFonts w:cs="Calibri"/>
                <w:lang w:val="sk-SK"/>
              </w:rPr>
              <w:t>Pozn.:</w:t>
            </w:r>
            <w:r w:rsidRPr="007C58E4">
              <w:rPr>
                <w:rFonts w:cs="Calibri"/>
                <w:color w:val="000000"/>
                <w:lang w:val="sk-SK"/>
              </w:rPr>
              <w:t xml:space="preserve"> </w:t>
            </w:r>
            <w:r w:rsidRPr="007C58E4">
              <w:rPr>
                <w:rFonts w:cs="Calibri"/>
                <w:i/>
                <w:lang w:val="sk-SK"/>
              </w:rPr>
              <w:t xml:space="preserve">Formálne nedostatky, ktoré nemajú </w:t>
            </w:r>
            <w:r w:rsidRPr="007C58E4">
              <w:rPr>
                <w:rFonts w:cs="Calibri"/>
                <w:i/>
                <w:color w:val="000000"/>
                <w:lang w:val="sk-SK"/>
              </w:rPr>
              <w:t>vplyv na dodržanie celkovej žiadateľom stanovenej dĺžky realizácie projektu a dosiahnutie výstupov projektu</w:t>
            </w:r>
            <w:r w:rsidRPr="007C58E4">
              <w:rPr>
                <w:rFonts w:cs="Calibri"/>
                <w:i/>
                <w:lang w:val="sk-SK"/>
              </w:rPr>
              <w:t xml:space="preserve"> uvedie v Hodnotiacom hárku v časti Komentár.</w:t>
            </w:r>
            <w:r w:rsidRPr="007C58E4">
              <w:rPr>
                <w:rFonts w:cs="Calibri"/>
                <w:i/>
                <w:szCs w:val="22"/>
                <w:lang w:val="sk-SK" w:eastAsia="sk-SK"/>
              </w:rPr>
              <w:t xml:space="preserve"> Za identifikovaný nedostatok sa nepovažuje nesúlad časového harmonogramu projektu s termínom uvedeným v právoplatnom povolení vydanom v súvislosti s realizáciou stavebných prác v prípade, ak sú splnené legislatívne podmienky na zmenu uvedeného termínu počas realizácie projektu. V prípade schválenie a následnej realizácie takéhoto projektu je prijímateľ zmluvne viazaný zabezpečiť realizáciu projektu v plnom rozsahu a v zmysle časového harmonogramu uvedeného v Zmluve o poskytnutí NFP.</w:t>
            </w:r>
          </w:p>
          <w:p w:rsidR="00C759C8" w:rsidRPr="007C58E4"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p w:rsidR="00C759C8" w:rsidRPr="007C58E4" w:rsidRDefault="00C759C8" w:rsidP="009C2DA2">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lang w:val="sk-SK"/>
              </w:rPr>
              <w:t xml:space="preserve">Odborný hodnotiteľ vždy zdôvodní svoju odpoveď </w:t>
            </w:r>
            <w:r w:rsidRPr="007C58E4">
              <w:rPr>
                <w:rFonts w:cs="Calibri"/>
                <w:b/>
                <w:szCs w:val="22"/>
                <w:lang w:val="sk-SK"/>
              </w:rPr>
              <w:t xml:space="preserve">„ÁNO“/„NIE” </w:t>
            </w:r>
            <w:r w:rsidRPr="007C58E4">
              <w:rPr>
                <w:rFonts w:cs="Calibri"/>
                <w:b/>
                <w:lang w:val="sk-SK"/>
              </w:rPr>
              <w:t>v Hodnotiacom hárku odborného hodnotenia</w:t>
            </w:r>
            <w:r w:rsidRPr="007C58E4">
              <w:rPr>
                <w:rFonts w:cs="Calibri"/>
                <w:lang w:val="sk-SK"/>
              </w:rPr>
              <w:t xml:space="preserve"> </w:t>
            </w:r>
            <w:r w:rsidRPr="007C58E4">
              <w:rPr>
                <w:rFonts w:cs="Calibri"/>
                <w:b/>
                <w:lang w:val="sk-SK"/>
              </w:rPr>
              <w:t>v časti Komentár a súčasne uvedie odkaz na dokument vrátane relevantnej časti</w:t>
            </w:r>
            <w:r w:rsidRPr="007C58E4">
              <w:rPr>
                <w:rFonts w:cs="Calibri"/>
                <w:lang w:val="sk-SK"/>
              </w:rPr>
              <w:t xml:space="preserve"> (ŽoNFP a relevantnej prílohy a pod.), na základe ktorej bolo vykonané hodnotenie. </w:t>
            </w:r>
          </w:p>
          <w:p w:rsidR="00C759C8" w:rsidRPr="007C58E4" w:rsidRDefault="00C759C8" w:rsidP="009C2DA2">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szCs w:val="22"/>
                <w:lang w:val="sk-SK"/>
              </w:rPr>
              <w:t xml:space="preserve">Projekt </w:t>
            </w:r>
            <w:r w:rsidRPr="007C58E4">
              <w:rPr>
                <w:rFonts w:cs="Calibri"/>
                <w:b/>
                <w:szCs w:val="22"/>
                <w:lang w:val="sk-SK"/>
              </w:rPr>
              <w:t>vyhovie</w:t>
            </w:r>
            <w:r w:rsidRPr="007C58E4">
              <w:rPr>
                <w:rFonts w:cs="Calibri"/>
                <w:szCs w:val="22"/>
                <w:lang w:val="sk-SK"/>
              </w:rPr>
              <w:t xml:space="preserve">, ak na hodnotiacu otázku pre každú z relevantných usmerňujúcich bodov  a) - c) odborný hodnotiteľ odpovie </w:t>
            </w:r>
            <w:r w:rsidRPr="007C58E4">
              <w:rPr>
                <w:rFonts w:cs="Calibri"/>
                <w:b/>
                <w:szCs w:val="22"/>
                <w:lang w:val="sk-SK"/>
              </w:rPr>
              <w:t xml:space="preserve">„ÁNO“. </w:t>
            </w:r>
          </w:p>
          <w:p w:rsidR="00C759C8" w:rsidRPr="007C58E4" w:rsidRDefault="00C759C8"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
                <w:color w:val="000000"/>
                <w:lang w:val="sk-SK" w:eastAsia="sk-SK"/>
              </w:rPr>
            </w:pPr>
            <w:r w:rsidRPr="007C58E4">
              <w:rPr>
                <w:rFonts w:cs="Calibri"/>
                <w:color w:val="000000"/>
                <w:lang w:val="sk-SK" w:eastAsia="sk-SK"/>
              </w:rPr>
              <w:t xml:space="preserve">V prípade, že odborný hodnotiteľ minimálne na jeden z bodov a) – c)  </w:t>
            </w:r>
            <w:r w:rsidRPr="007C58E4">
              <w:rPr>
                <w:rFonts w:cs="Calibri"/>
                <w:lang w:val="sk-SK"/>
              </w:rPr>
              <w:t>odpovie</w:t>
            </w:r>
            <w:r w:rsidRPr="007C58E4">
              <w:rPr>
                <w:rFonts w:cs="Calibri"/>
                <w:b/>
                <w:lang w:val="sk-SK"/>
              </w:rPr>
              <w:t xml:space="preserve"> “NIE”</w:t>
            </w:r>
            <w:r w:rsidRPr="007C58E4">
              <w:rPr>
                <w:rFonts w:cs="Calibri"/>
                <w:lang w:val="sk-SK"/>
              </w:rPr>
              <w:t xml:space="preserve"> </w:t>
            </w:r>
            <w:r w:rsidRPr="007C58E4">
              <w:rPr>
                <w:rFonts w:cs="Calibri"/>
                <w:color w:val="000000"/>
                <w:lang w:val="sk-SK" w:eastAsia="sk-SK"/>
              </w:rPr>
              <w:t xml:space="preserve"> je ŽoNFP vyradená zo schvaľovacieho procesu.</w:t>
            </w:r>
            <w:r w:rsidRPr="007C58E4">
              <w:rPr>
                <w:rFonts w:cs="Calibri"/>
                <w:i/>
                <w:color w:val="000000"/>
                <w:lang w:val="sk-SK" w:eastAsia="sk-SK"/>
              </w:rPr>
              <w:t xml:space="preserve"> </w:t>
            </w:r>
          </w:p>
        </w:tc>
      </w:tr>
      <w:tr w:rsidR="00C759C8" w:rsidRPr="007C58E4" w:rsidTr="000572BD">
        <w:trPr>
          <w:trHeight w:val="2591"/>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tcPr>
          <w:p w:rsidR="00C759C8" w:rsidRPr="007C58E4" w:rsidRDefault="00C759C8" w:rsidP="003D7106">
            <w:pPr>
              <w:spacing w:before="0" w:after="0" w:line="240" w:lineRule="auto"/>
              <w:ind w:left="0" w:firstLine="0"/>
              <w:jc w:val="both"/>
              <w:rPr>
                <w:rFonts w:cs="Calibri"/>
                <w:lang w:val="sk-SK"/>
              </w:rPr>
            </w:pPr>
          </w:p>
        </w:tc>
        <w:tc>
          <w:tcPr>
            <w:tcW w:w="1272" w:type="dxa"/>
            <w:vMerge/>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Áno</w:t>
            </w:r>
          </w:p>
        </w:tc>
        <w:tc>
          <w:tcPr>
            <w:tcW w:w="3186" w:type="dxa"/>
            <w:tcBorders>
              <w:right w:val="single" w:sz="4" w:space="0" w:color="808080" w:themeColor="background1" w:themeShade="80"/>
            </w:tcBorders>
          </w:tcPr>
          <w:p w:rsidR="006F6F7E" w:rsidRPr="007C58E4" w:rsidRDefault="00C759C8" w:rsidP="001F1E1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color w:val="000000"/>
                <w:lang w:val="sk-SK"/>
              </w:rPr>
              <w:t>Etapizácia projektu</w:t>
            </w:r>
            <w:r w:rsidRPr="007C58E4">
              <w:rPr>
                <w:rFonts w:cs="Calibri"/>
                <w:color w:val="FF0000"/>
                <w:lang w:val="sk-SK"/>
              </w:rPr>
              <w:t xml:space="preserve"> </w:t>
            </w:r>
            <w:r w:rsidRPr="007C58E4">
              <w:rPr>
                <w:rFonts w:cs="Calibri"/>
                <w:b/>
                <w:color w:val="000000"/>
                <w:lang w:val="sk-SK"/>
              </w:rPr>
              <w:t>je</w:t>
            </w:r>
            <w:r w:rsidRPr="007C58E4">
              <w:rPr>
                <w:rFonts w:cs="Calibri"/>
                <w:color w:val="000000"/>
                <w:lang w:val="sk-SK"/>
              </w:rPr>
              <w:t xml:space="preserve"> vnútorne súladná, aktivity </w:t>
            </w:r>
            <w:r w:rsidRPr="007C58E4">
              <w:rPr>
                <w:rFonts w:cs="Calibri"/>
                <w:b/>
                <w:color w:val="000000"/>
                <w:lang w:val="sk-SK"/>
              </w:rPr>
              <w:t>sú</w:t>
            </w:r>
            <w:r w:rsidRPr="007C58E4">
              <w:rPr>
                <w:rFonts w:cs="Calibri"/>
                <w:color w:val="000000"/>
                <w:lang w:val="sk-SK"/>
              </w:rPr>
              <w:t xml:space="preserve"> logicky nadväzujúce a nastavené realisticky z hľadiska ich trvania. Časový harmonogram projektu </w:t>
            </w:r>
            <w:r w:rsidRPr="007C58E4">
              <w:rPr>
                <w:rFonts w:cs="Calibri"/>
                <w:b/>
                <w:color w:val="000000"/>
                <w:lang w:val="sk-SK"/>
              </w:rPr>
              <w:t>je</w:t>
            </w:r>
            <w:r w:rsidRPr="007C58E4">
              <w:rPr>
                <w:rFonts w:cs="Calibri"/>
                <w:color w:val="000000"/>
                <w:lang w:val="sk-SK"/>
              </w:rPr>
              <w:t xml:space="preserve"> realistický z hľadiska dosiahnutia výstupov projektu v programovom období 2014 - 2020.</w:t>
            </w:r>
          </w:p>
          <w:p w:rsidR="00C759C8" w:rsidRPr="007C58E4" w:rsidRDefault="00C759C8" w:rsidP="001F1E1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r w:rsidRPr="007C58E4">
              <w:rPr>
                <w:rFonts w:cs="Calibri"/>
                <w:color w:val="000000"/>
                <w:lang w:val="sk-SK"/>
              </w:rPr>
              <w:br/>
            </w:r>
            <w:r w:rsidRPr="007C58E4">
              <w:rPr>
                <w:rFonts w:cs="Calibri"/>
                <w:i/>
                <w:color w:val="000000"/>
                <w:lang w:val="sk-SK"/>
              </w:rPr>
              <w:t>Časový harmonogram môže obsahovať formálne nedostatky, ktoré nemajú vplyv na dodržanie celkovej žiadateľom stanovenej dĺžky realizácie projektu a dosiahnutie výstupov projektu.</w:t>
            </w:r>
          </w:p>
        </w:tc>
        <w:tc>
          <w:tcPr>
            <w:tcW w:w="4007" w:type="dxa"/>
            <w:vMerge/>
            <w:tcBorders>
              <w:left w:val="single" w:sz="4" w:space="0" w:color="808080" w:themeColor="background1" w:themeShade="80"/>
            </w:tcBorders>
          </w:tcPr>
          <w:p w:rsidR="00C759C8" w:rsidRPr="007C58E4" w:rsidRDefault="00C759C8" w:rsidP="00DF13E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eastAsia="sk-SK"/>
              </w:rPr>
            </w:pPr>
          </w:p>
        </w:tc>
      </w:tr>
    </w:tbl>
    <w:p w:rsidR="00C759C8" w:rsidRPr="007C58E4" w:rsidRDefault="00C759C8" w:rsidP="00C759C8">
      <w:pPr>
        <w:spacing w:before="240" w:after="0"/>
        <w:rPr>
          <w:rFonts w:ascii="Arial Narrow" w:eastAsia="Times New Roman" w:hAnsi="Arial Narrow" w:cs="Times New Roman"/>
          <w:color w:val="0070C0"/>
          <w:szCs w:val="20"/>
        </w:rPr>
      </w:pPr>
      <w:r w:rsidRPr="007C58E4">
        <w:rPr>
          <w:rFonts w:ascii="Arial Narrow" w:eastAsia="Times New Roman" w:hAnsi="Arial Narrow" w:cs="Times New Roman"/>
          <w:color w:val="0070C0"/>
          <w:szCs w:val="20"/>
        </w:rPr>
        <w:t>ADMINISTRATÍVNA A PREVÁDZKOVÁ KAPACITA ŽIADATEĽA</w:t>
      </w:r>
    </w:p>
    <w:tbl>
      <w:tblPr>
        <w:tblStyle w:val="Deloittetable31"/>
        <w:tblW w:w="1505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2"/>
        <w:gridCol w:w="1453"/>
        <w:gridCol w:w="425"/>
        <w:gridCol w:w="1560"/>
        <w:gridCol w:w="3502"/>
        <w:gridCol w:w="629"/>
        <w:gridCol w:w="3186"/>
        <w:gridCol w:w="4007"/>
      </w:tblGrid>
      <w:tr w:rsidR="00C759C8" w:rsidRPr="007C58E4" w:rsidTr="000572BD">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1745" w:type="dxa"/>
            <w:gridSpan w:val="2"/>
            <w:tcBorders>
              <w:lef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rPr>
                <w:rFonts w:cs="Calibri"/>
                <w:lang w:val="sk-SK"/>
              </w:rPr>
            </w:pPr>
            <w:r w:rsidRPr="007C58E4">
              <w:rPr>
                <w:rFonts w:cs="Calibri"/>
                <w:bCs/>
                <w:lang w:val="sk-SK" w:eastAsia="sk-SK"/>
              </w:rPr>
              <w:t>Hodnotená oblasť</w:t>
            </w:r>
          </w:p>
        </w:tc>
        <w:tc>
          <w:tcPr>
            <w:tcW w:w="1985" w:type="dxa"/>
            <w:gridSpan w:val="2"/>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Cs/>
                <w:lang w:val="sk-SK" w:eastAsia="sk-SK"/>
              </w:rPr>
              <w:t>Hodnotiace kritérium</w:t>
            </w:r>
          </w:p>
        </w:tc>
        <w:tc>
          <w:tcPr>
            <w:tcW w:w="3502"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Cs/>
                <w:lang w:val="sk-SK" w:eastAsia="sk-SK"/>
              </w:rPr>
              <w:t>Predmet hodnotenia</w:t>
            </w:r>
          </w:p>
        </w:tc>
        <w:tc>
          <w:tcPr>
            <w:tcW w:w="629"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Hodno</w:t>
            </w:r>
          </w:p>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tenie</w:t>
            </w:r>
          </w:p>
        </w:tc>
        <w:tc>
          <w:tcPr>
            <w:tcW w:w="3186" w:type="dxa"/>
            <w:tcBorders>
              <w:righ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eastAsia="sk-SK"/>
              </w:rPr>
            </w:pPr>
            <w:r w:rsidRPr="007C58E4">
              <w:rPr>
                <w:rFonts w:cs="Calibri"/>
                <w:bCs/>
                <w:lang w:val="sk-SK" w:eastAsia="sk-SK"/>
              </w:rPr>
              <w:t>Spôsob aplikácie hodnotiaceho kritéria</w:t>
            </w:r>
          </w:p>
        </w:tc>
        <w:tc>
          <w:tcPr>
            <w:tcW w:w="4007" w:type="dxa"/>
            <w:tcBorders>
              <w:left w:val="single" w:sz="4" w:space="0" w:color="808080" w:themeColor="background1" w:themeShade="80"/>
            </w:tcBorders>
            <w:shd w:val="clear" w:color="auto" w:fill="C9DD03" w:themeFill="accent6"/>
          </w:tcPr>
          <w:p w:rsidR="00C759C8" w:rsidRPr="007C58E4" w:rsidRDefault="00C759C8" w:rsidP="00C759C8">
            <w:pPr>
              <w:tabs>
                <w:tab w:val="left" w:pos="355"/>
                <w:tab w:val="center" w:pos="1975"/>
              </w:tabs>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Cs/>
                <w:lang w:val="sk-SK" w:eastAsia="sk-SK"/>
              </w:rPr>
              <w:tab/>
            </w:r>
            <w:r w:rsidRPr="007C58E4">
              <w:rPr>
                <w:rFonts w:cs="Calibri"/>
                <w:bCs/>
                <w:lang w:val="sk-SK" w:eastAsia="sk-SK"/>
              </w:rPr>
              <w:tab/>
              <w:t xml:space="preserve">Spôsob </w:t>
            </w:r>
            <w:r w:rsidRPr="007C58E4">
              <w:rPr>
                <w:rFonts w:cs="Calibri"/>
                <w:bCs/>
                <w:shd w:val="clear" w:color="auto" w:fill="C9DD03" w:themeFill="accent6"/>
                <w:lang w:val="sk-SK" w:eastAsia="sk-SK"/>
              </w:rPr>
              <w:t>vyhodnocovania a poznámky</w:t>
            </w:r>
          </w:p>
        </w:tc>
      </w:tr>
      <w:tr w:rsidR="00C759C8" w:rsidRPr="007C58E4" w:rsidTr="001F1E12">
        <w:trPr>
          <w:trHeight w:val="2300"/>
          <w:jc w:val="center"/>
        </w:trPr>
        <w:tc>
          <w:tcPr>
            <w:cnfStyle w:val="001000000000" w:firstRow="0" w:lastRow="0" w:firstColumn="1" w:lastColumn="0" w:oddVBand="0" w:evenVBand="0" w:oddHBand="0" w:evenHBand="0" w:firstRowFirstColumn="0" w:firstRowLastColumn="0" w:lastRowFirstColumn="0" w:lastRowLastColumn="0"/>
            <w:tcW w:w="292" w:type="dxa"/>
            <w:vMerge w:val="restart"/>
            <w:tcBorders>
              <w:left w:val="single" w:sz="4" w:space="0" w:color="808080" w:themeColor="background1" w:themeShade="80"/>
            </w:tcBorders>
            <w:shd w:val="clear" w:color="auto" w:fill="auto"/>
          </w:tcPr>
          <w:p w:rsidR="00C759C8" w:rsidRPr="007C58E4" w:rsidRDefault="00722C1A" w:rsidP="003D7106">
            <w:pPr>
              <w:spacing w:before="0" w:after="0" w:line="240" w:lineRule="auto"/>
              <w:ind w:left="0" w:firstLine="0"/>
              <w:jc w:val="both"/>
              <w:rPr>
                <w:rFonts w:cs="Calibri"/>
                <w:color w:val="auto"/>
                <w:lang w:val="sk-SK"/>
              </w:rPr>
            </w:pPr>
            <w:r w:rsidRPr="007C58E4">
              <w:rPr>
                <w:rFonts w:cs="Calibri"/>
                <w:color w:val="auto"/>
                <w:lang w:val="sk-SK"/>
              </w:rPr>
              <w:t>3.</w:t>
            </w:r>
          </w:p>
        </w:tc>
        <w:tc>
          <w:tcPr>
            <w:tcW w:w="1453" w:type="dxa"/>
            <w:vMerge w:val="restart"/>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Administratívna a prevádzková kapacita žiadateľa</w:t>
            </w:r>
          </w:p>
        </w:tc>
        <w:tc>
          <w:tcPr>
            <w:tcW w:w="425" w:type="dxa"/>
            <w:vMerge w:val="restart"/>
            <w:shd w:val="clear" w:color="auto" w:fill="auto"/>
          </w:tcPr>
          <w:p w:rsidR="00C759C8" w:rsidRPr="007C58E4" w:rsidRDefault="00722C1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3</w:t>
            </w:r>
            <w:r w:rsidR="00C759C8" w:rsidRPr="007C58E4">
              <w:rPr>
                <w:rFonts w:cs="Calibri"/>
                <w:color w:val="000000"/>
                <w:lang w:val="sk-SK" w:eastAsia="sk-SK"/>
              </w:rPr>
              <w:t>.1</w:t>
            </w:r>
          </w:p>
        </w:tc>
        <w:tc>
          <w:tcPr>
            <w:tcW w:w="1560" w:type="dxa"/>
            <w:vMerge w:val="restart"/>
            <w:shd w:val="clear" w:color="auto" w:fill="auto"/>
          </w:tcPr>
          <w:p w:rsidR="008F0E0A" w:rsidRPr="007C58E4" w:rsidRDefault="008F0E0A" w:rsidP="008F0E0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 xml:space="preserve">Kapacita žiadateľa na riadenie a realizáciu projektu a zabezpečenie   </w:t>
            </w:r>
          </w:p>
          <w:p w:rsidR="00C759C8" w:rsidRPr="007C58E4" w:rsidRDefault="008F0E0A" w:rsidP="008F0E0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prevádzky projektu</w:t>
            </w:r>
          </w:p>
        </w:tc>
        <w:tc>
          <w:tcPr>
            <w:tcW w:w="3502" w:type="dxa"/>
            <w:vMerge w:val="restart"/>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Posudzuje sa</w:t>
            </w:r>
            <w:r w:rsidR="00722C1A" w:rsidRPr="007C58E4">
              <w:rPr>
                <w:rFonts w:cs="Calibri"/>
                <w:color w:val="000000"/>
                <w:lang w:val="sk-SK" w:eastAsia="sk-SK"/>
              </w:rPr>
              <w:t xml:space="preserve"> kapacita žiadateľa na realizáciu fázy II projektu, a to</w:t>
            </w:r>
            <w:r w:rsidRPr="007C58E4">
              <w:rPr>
                <w:rFonts w:cs="Calibri"/>
                <w:color w:val="000000"/>
                <w:lang w:val="sk-SK" w:eastAsia="sk-SK"/>
              </w:rPr>
              <w:t>:</w:t>
            </w:r>
          </w:p>
          <w:p w:rsidR="00C759C8" w:rsidRPr="007C58E4" w:rsidRDefault="00C759C8" w:rsidP="00C759C8">
            <w:pPr>
              <w:pStyle w:val="Odsekzoznamu"/>
              <w:numPr>
                <w:ilvl w:val="0"/>
                <w:numId w:val="22"/>
              </w:numPr>
              <w:spacing w:before="0" w:after="0" w:line="240" w:lineRule="auto"/>
              <w:ind w:left="193" w:hanging="19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 xml:space="preserve">administratívna kapacita žiadateľa na riadenie projektu v súlade s podmienkami definovanými v </w:t>
            </w:r>
            <w:r w:rsidRPr="007C58E4">
              <w:rPr>
                <w:rFonts w:cs="Calibri"/>
                <w:lang w:val="sk-SK" w:eastAsia="sk-SK"/>
              </w:rPr>
              <w:t>príslušnej riadiacej dokumentácii pre implementáciu projektov v rámci OPII</w:t>
            </w:r>
            <w:r w:rsidRPr="007C58E4">
              <w:rPr>
                <w:rFonts w:cs="Calibri"/>
                <w:color w:val="000000"/>
                <w:lang w:val="sk-SK" w:eastAsia="sk-SK"/>
              </w:rPr>
              <w:t xml:space="preserve">. V rámci toho sa posudzujú aj skúsenosti žiadateľa s riadením </w:t>
            </w:r>
            <w:r w:rsidRPr="007C58E4">
              <w:rPr>
                <w:rFonts w:cs="Calibri"/>
                <w:lang w:val="sk-SK" w:eastAsia="sk-SK"/>
              </w:rPr>
              <w:t xml:space="preserve">obdobných/porovnateľných </w:t>
            </w:r>
            <w:r w:rsidRPr="007C58E4">
              <w:rPr>
                <w:rFonts w:cs="Calibri"/>
                <w:color w:val="000000"/>
                <w:lang w:val="sk-SK" w:eastAsia="sk-SK"/>
              </w:rPr>
              <w:t>projektov,</w:t>
            </w:r>
          </w:p>
          <w:p w:rsidR="00C759C8" w:rsidRPr="007C58E4" w:rsidRDefault="00C759C8" w:rsidP="00C759C8">
            <w:pPr>
              <w:pStyle w:val="Odsekzoznamu"/>
              <w:numPr>
                <w:ilvl w:val="0"/>
                <w:numId w:val="22"/>
              </w:numPr>
              <w:spacing w:before="0" w:after="0" w:line="240" w:lineRule="auto"/>
              <w:ind w:left="193" w:hanging="19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kapacita žiadateľa na realizáciu hlavných aktivít projektu z hľadiska vecného zamerania projektu,</w:t>
            </w:r>
          </w:p>
          <w:p w:rsidR="00C759C8" w:rsidRPr="007C58E4" w:rsidRDefault="00C759C8" w:rsidP="00C759C8">
            <w:pPr>
              <w:pStyle w:val="Odsekzoznamu"/>
              <w:numPr>
                <w:ilvl w:val="0"/>
                <w:numId w:val="22"/>
              </w:numPr>
              <w:spacing w:before="0" w:after="0" w:line="240" w:lineRule="auto"/>
              <w:ind w:left="193" w:hanging="19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kapacita žiadateľa na zabezpečenie prevádzky projektu.</w:t>
            </w:r>
          </w:p>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 rámci tohto hodnotenia sa posudzuje, či žiadateľ disponuje dostatočnými administratívnymi kapacitami s potrebnou odbornou spôsobilosťou a know-how a potrebným materiálno-technickým zázemím na zabezpečenie uvedených aktivít.</w:t>
            </w:r>
          </w:p>
        </w:tc>
        <w:tc>
          <w:tcPr>
            <w:tcW w:w="629" w:type="dxa"/>
            <w:shd w:val="clear" w:color="auto" w:fill="auto"/>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Nie</w:t>
            </w:r>
          </w:p>
        </w:tc>
        <w:tc>
          <w:tcPr>
            <w:tcW w:w="3186" w:type="dxa"/>
            <w:tcBorders>
              <w:right w:val="single" w:sz="4" w:space="0" w:color="808080" w:themeColor="background1" w:themeShade="80"/>
            </w:tcBorders>
            <w:shd w:val="clear" w:color="auto" w:fill="auto"/>
          </w:tcPr>
          <w:p w:rsidR="00C759C8" w:rsidRPr="007C58E4" w:rsidRDefault="00C759C8"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 xml:space="preserve">Administratívne kapacity žiadateľa na riadenie </w:t>
            </w:r>
            <w:r w:rsidR="00722C1A" w:rsidRPr="007C58E4">
              <w:rPr>
                <w:rFonts w:cs="Calibri"/>
                <w:lang w:val="sk-SK" w:eastAsia="sk-SK"/>
              </w:rPr>
              <w:t xml:space="preserve">fázy II </w:t>
            </w:r>
            <w:r w:rsidRPr="007C58E4">
              <w:rPr>
                <w:rFonts w:cs="Calibri"/>
                <w:lang w:val="sk-SK" w:eastAsia="sk-SK"/>
              </w:rPr>
              <w:t xml:space="preserve">projektu podľa podmienok definovaných v príslušnej riadiacej dokumentácii pre implementáciu projektov v rámci OPII </w:t>
            </w:r>
            <w:r w:rsidRPr="007C58E4">
              <w:rPr>
                <w:rFonts w:cs="Calibri"/>
                <w:b/>
                <w:bCs/>
                <w:lang w:val="sk-SK" w:eastAsia="sk-SK"/>
              </w:rPr>
              <w:t xml:space="preserve">sú nedostatočné </w:t>
            </w:r>
            <w:r w:rsidRPr="007C58E4">
              <w:rPr>
                <w:rFonts w:cs="Calibri"/>
                <w:lang w:val="sk-SK" w:eastAsia="sk-SK"/>
              </w:rPr>
              <w:t>z hľadiska ich počtu a/alebo skúseností s riadením obdobných/porovnateľných projektov.</w:t>
            </w:r>
          </w:p>
          <w:p w:rsidR="00C759C8" w:rsidRPr="007C58E4" w:rsidRDefault="00C759C8"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p>
          <w:p w:rsidR="00C759C8" w:rsidRPr="007C58E4" w:rsidRDefault="00C759C8" w:rsidP="001F1E1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r w:rsidRPr="007C58E4">
              <w:rPr>
                <w:rFonts w:cs="Calibri"/>
                <w:color w:val="000000"/>
                <w:lang w:val="sk-SK" w:eastAsia="sk-SK"/>
              </w:rPr>
              <w:t xml:space="preserve">Žiadateľ </w:t>
            </w:r>
            <w:r w:rsidRPr="007C58E4">
              <w:rPr>
                <w:rFonts w:cs="Calibri"/>
                <w:b/>
                <w:bCs/>
                <w:color w:val="000000"/>
                <w:lang w:val="sk-SK" w:eastAsia="sk-SK"/>
              </w:rPr>
              <w:t>nedisponuje</w:t>
            </w:r>
            <w:r w:rsidRPr="007C58E4">
              <w:rPr>
                <w:rFonts w:cs="Calibri"/>
                <w:color w:val="000000"/>
                <w:lang w:val="sk-SK" w:eastAsia="sk-SK"/>
              </w:rPr>
              <w:t xml:space="preserve"> adekvátnym materiálno-technickým zázemím a/alebo dostatočnými administratívnymi kapacitami s náležitou odbornou spôsobilosťou a know-how pre realizáciu hlavných aktivít </w:t>
            </w:r>
            <w:r w:rsidR="00722C1A" w:rsidRPr="007C58E4">
              <w:rPr>
                <w:rFonts w:cs="Calibri"/>
                <w:color w:val="000000"/>
                <w:lang w:val="sk-SK" w:eastAsia="sk-SK"/>
              </w:rPr>
              <w:t xml:space="preserve">fázy II </w:t>
            </w:r>
            <w:r w:rsidRPr="007C58E4">
              <w:rPr>
                <w:rFonts w:cs="Calibri"/>
                <w:color w:val="000000"/>
                <w:lang w:val="sk-SK" w:eastAsia="sk-SK"/>
              </w:rPr>
              <w:t>projektu resp. na zabezpečenie prevádzky projektu v danej oblasti a uvedené zázemie a kapacity nemá zabezpečené ani prostredníctvom externého dodávateľa.</w:t>
            </w:r>
          </w:p>
        </w:tc>
        <w:tc>
          <w:tcPr>
            <w:tcW w:w="4007" w:type="dxa"/>
            <w:vMerge w:val="restart"/>
            <w:tcBorders>
              <w:left w:val="single" w:sz="4" w:space="0" w:color="808080" w:themeColor="background1" w:themeShade="80"/>
            </w:tcBorders>
            <w:shd w:val="clear" w:color="auto" w:fill="auto"/>
          </w:tcPr>
          <w:p w:rsidR="00C759C8" w:rsidRPr="007C58E4" w:rsidRDefault="00C759C8"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Odborný hodnotiteľ posudzuje:</w:t>
            </w:r>
          </w:p>
          <w:p w:rsidR="00CC570B" w:rsidRPr="007C58E4" w:rsidRDefault="00C759C8" w:rsidP="001F1E12">
            <w:pPr>
              <w:pStyle w:val="Odsekzoznamu"/>
              <w:numPr>
                <w:ilvl w:val="0"/>
                <w:numId w:val="26"/>
              </w:numPr>
              <w:spacing w:before="0" w:after="0" w:line="240" w:lineRule="auto"/>
              <w:ind w:left="309" w:hanging="28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
                <w:color w:val="000000"/>
                <w:lang w:val="sk-SK" w:eastAsia="sk-SK"/>
              </w:rPr>
              <w:t xml:space="preserve">kapacitu žiadateľa na riadenie </w:t>
            </w:r>
            <w:r w:rsidR="00722C1A" w:rsidRPr="007C58E4">
              <w:rPr>
                <w:rFonts w:cs="Calibri"/>
                <w:b/>
                <w:color w:val="000000"/>
                <w:lang w:val="sk-SK" w:eastAsia="sk-SK"/>
              </w:rPr>
              <w:t xml:space="preserve">fázy II </w:t>
            </w:r>
            <w:r w:rsidRPr="007C58E4">
              <w:rPr>
                <w:rFonts w:cs="Calibri"/>
                <w:b/>
                <w:color w:val="000000"/>
                <w:lang w:val="sk-SK" w:eastAsia="sk-SK"/>
              </w:rPr>
              <w:t>projektu</w:t>
            </w:r>
            <w:r w:rsidRPr="007C58E4">
              <w:rPr>
                <w:rFonts w:cs="Calibri"/>
                <w:color w:val="000000"/>
                <w:lang w:val="sk-SK" w:eastAsia="sk-SK"/>
              </w:rPr>
              <w:t xml:space="preserve"> v súlade s podmienkami definovanými v príslušnej riadiacej dokumentáci</w:t>
            </w:r>
            <w:r w:rsidR="00CC570B" w:rsidRPr="007C58E4">
              <w:rPr>
                <w:rFonts w:cs="Calibri"/>
                <w:color w:val="000000"/>
                <w:lang w:val="sk-SK" w:eastAsia="sk-SK"/>
              </w:rPr>
              <w:t>i</w:t>
            </w:r>
            <w:r w:rsidRPr="007C58E4">
              <w:rPr>
                <w:rFonts w:cs="Calibri"/>
                <w:color w:val="000000"/>
                <w:lang w:val="sk-SK" w:eastAsia="sk-SK"/>
              </w:rPr>
              <w:t xml:space="preserve"> pre implementáciu projektov v rámci OPII. V rámci toho sa posudzujú aj </w:t>
            </w:r>
            <w:r w:rsidRPr="007C58E4">
              <w:rPr>
                <w:rFonts w:cs="Calibri"/>
                <w:b/>
                <w:color w:val="000000"/>
                <w:lang w:val="sk-SK" w:eastAsia="sk-SK"/>
              </w:rPr>
              <w:t>skúsenosti žiadateľa</w:t>
            </w:r>
            <w:r w:rsidRPr="007C58E4">
              <w:rPr>
                <w:rFonts w:cs="Calibri"/>
                <w:color w:val="000000"/>
                <w:lang w:val="sk-SK" w:eastAsia="sk-SK"/>
              </w:rPr>
              <w:t xml:space="preserve"> s riadením obdobných/porovnateľný</w:t>
            </w:r>
            <w:r w:rsidR="001F1E12" w:rsidRPr="007C58E4">
              <w:rPr>
                <w:rFonts w:cs="Calibri"/>
                <w:color w:val="000000"/>
                <w:lang w:val="sk-SK" w:eastAsia="sk-SK"/>
              </w:rPr>
              <w:t xml:space="preserve">ch investičných/ neinvestičných projektov spolufinancovaných </w:t>
            </w:r>
            <w:r w:rsidR="00CC570B" w:rsidRPr="007C58E4">
              <w:rPr>
                <w:rFonts w:cs="Calibri"/>
                <w:color w:val="000000"/>
                <w:lang w:val="sk-SK" w:eastAsia="sk-SK"/>
              </w:rPr>
              <w:t>z fondov EÚ alebo iných zdrojov a </w:t>
            </w:r>
            <w:r w:rsidR="00CC570B" w:rsidRPr="007C58E4">
              <w:rPr>
                <w:rFonts w:cs="Calibri"/>
                <w:b/>
                <w:color w:val="000000"/>
                <w:lang w:val="sk-SK" w:eastAsia="sk-SK"/>
              </w:rPr>
              <w:t>skúsenosti žiadateľa s riadením prvej fázy projektu</w:t>
            </w:r>
            <w:r w:rsidR="00CC570B" w:rsidRPr="007C58E4">
              <w:rPr>
                <w:rFonts w:cs="Calibri"/>
                <w:color w:val="000000"/>
                <w:lang w:val="sk-SK" w:eastAsia="sk-SK"/>
              </w:rPr>
              <w:t>;</w:t>
            </w:r>
            <w:r w:rsidRPr="007C58E4">
              <w:rPr>
                <w:rFonts w:cs="Calibri"/>
                <w:color w:val="000000"/>
                <w:lang w:val="sk-SK" w:eastAsia="sk-SK"/>
              </w:rPr>
              <w:t xml:space="preserve"> </w:t>
            </w:r>
            <w:r w:rsidR="00CC570B" w:rsidRPr="007C58E4">
              <w:rPr>
                <w:rFonts w:cs="Calibri"/>
                <w:color w:val="000000"/>
                <w:lang w:val="sk-SK" w:eastAsia="sk-SK"/>
              </w:rPr>
              <w:t>r</w:t>
            </w:r>
            <w:r w:rsidRPr="007C58E4">
              <w:rPr>
                <w:rFonts w:cs="Calibri"/>
                <w:color w:val="000000"/>
                <w:lang w:val="sk-SK" w:eastAsia="sk-SK"/>
              </w:rPr>
              <w:t>iadenie projektu môže byť zabezpečené internými kapacitami žiadateľa alebo externými kapacitami, ktoré si žiadateľ na tento účel obstará</w:t>
            </w:r>
            <w:r w:rsidR="00CC570B" w:rsidRPr="007C58E4">
              <w:rPr>
                <w:rFonts w:cs="Calibri"/>
                <w:color w:val="000000"/>
                <w:lang w:val="sk-SK" w:eastAsia="sk-SK"/>
              </w:rPr>
              <w:t>,</w:t>
            </w:r>
          </w:p>
          <w:p w:rsidR="00C759C8" w:rsidRPr="007C58E4" w:rsidRDefault="00C759C8" w:rsidP="00CC570B">
            <w:pPr>
              <w:pStyle w:val="Odsekzoznamu"/>
              <w:numPr>
                <w:ilvl w:val="0"/>
                <w:numId w:val="26"/>
              </w:numPr>
              <w:spacing w:before="0" w:after="0" w:line="240" w:lineRule="auto"/>
              <w:ind w:left="309" w:hanging="28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 xml:space="preserve">či žiadateľ </w:t>
            </w:r>
            <w:r w:rsidRPr="007C58E4">
              <w:rPr>
                <w:rFonts w:cs="Calibri"/>
                <w:b/>
                <w:color w:val="000000"/>
                <w:lang w:val="sk-SK" w:eastAsia="sk-SK"/>
              </w:rPr>
              <w:t>disponuje dostatočnými administratívnymi kapacitami s potrebnou odbornou spôsobilosťou</w:t>
            </w:r>
            <w:r w:rsidRPr="007C58E4">
              <w:rPr>
                <w:rFonts w:cs="Calibri"/>
                <w:color w:val="000000"/>
                <w:lang w:val="sk-SK" w:eastAsia="sk-SK"/>
              </w:rPr>
              <w:t xml:space="preserve"> (ak relevantné, napr. oprávnenia, cert</w:t>
            </w:r>
            <w:r w:rsidRPr="007C58E4">
              <w:rPr>
                <w:rFonts w:cs="Calibri"/>
                <w:lang w:val="sk-SK" w:eastAsia="sk-SK"/>
              </w:rPr>
              <w:t xml:space="preserve">ifikáty)  know-how a potrebným </w:t>
            </w:r>
            <w:r w:rsidRPr="007C58E4">
              <w:rPr>
                <w:rFonts w:cs="Calibri"/>
                <w:color w:val="000000"/>
                <w:lang w:val="sk-SK" w:eastAsia="sk-SK"/>
              </w:rPr>
              <w:t>materiálno-technickým zázemím pre realizáciu</w:t>
            </w:r>
            <w:r w:rsidR="00722C1A" w:rsidRPr="007C58E4">
              <w:rPr>
                <w:rFonts w:cs="Calibri"/>
                <w:color w:val="000000"/>
                <w:lang w:val="sk-SK" w:eastAsia="sk-SK"/>
              </w:rPr>
              <w:t xml:space="preserve"> fázy II</w:t>
            </w:r>
            <w:r w:rsidRPr="007C58E4">
              <w:rPr>
                <w:rFonts w:cs="Calibri"/>
                <w:color w:val="000000"/>
                <w:lang w:val="sk-SK" w:eastAsia="sk-SK"/>
              </w:rPr>
              <w:t xml:space="preserve"> projektu a zabezpečenie prevádzky projektu v danej oblasti</w:t>
            </w:r>
            <w:r w:rsidR="00CC570B" w:rsidRPr="007C58E4">
              <w:rPr>
                <w:rFonts w:cs="Calibri"/>
                <w:color w:val="000000"/>
                <w:lang w:val="sk-SK" w:eastAsia="sk-SK"/>
              </w:rPr>
              <w:t>; r</w:t>
            </w:r>
            <w:r w:rsidRPr="007C58E4">
              <w:rPr>
                <w:rFonts w:cs="Calibri"/>
                <w:color w:val="000000"/>
                <w:lang w:val="sk-SK" w:eastAsia="sk-SK"/>
              </w:rPr>
              <w:t>ealizácia projektu môže byť zabezpečená internými kapacitami žiadateľa alebo externými kapacitami, ktoré si žiadateľ na tento účel obstará</w:t>
            </w:r>
            <w:r w:rsidR="00CC570B" w:rsidRPr="007C58E4">
              <w:rPr>
                <w:rFonts w:cs="Calibri"/>
                <w:color w:val="000000"/>
                <w:lang w:val="sk-SK" w:eastAsia="sk-SK"/>
              </w:rPr>
              <w:t>,</w:t>
            </w:r>
          </w:p>
          <w:p w:rsidR="00CC570B" w:rsidRPr="007C58E4" w:rsidRDefault="00CC570B" w:rsidP="00CC570B">
            <w:pPr>
              <w:pStyle w:val="Odsekzoznamu"/>
              <w:numPr>
                <w:ilvl w:val="0"/>
                <w:numId w:val="26"/>
              </w:numPr>
              <w:spacing w:before="0" w:after="0" w:line="240" w:lineRule="auto"/>
              <w:ind w:left="309" w:hanging="28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či žiadateľ disponuje dostatočnými technickými</w:t>
            </w:r>
            <w:r w:rsidR="000572BD" w:rsidRPr="007C58E4">
              <w:rPr>
                <w:rFonts w:cs="Calibri"/>
                <w:color w:val="000000"/>
                <w:lang w:val="sk-SK" w:eastAsia="sk-SK"/>
              </w:rPr>
              <w:t xml:space="preserve"> a materiálnymi</w:t>
            </w:r>
            <w:r w:rsidRPr="007C58E4">
              <w:rPr>
                <w:rFonts w:cs="Calibri"/>
                <w:color w:val="000000"/>
                <w:lang w:val="sk-SK" w:eastAsia="sk-SK"/>
              </w:rPr>
              <w:t xml:space="preserve"> kapacitami na zabezpečenie prevádzky projektu. </w:t>
            </w:r>
          </w:p>
          <w:p w:rsidR="00CC570B" w:rsidRPr="007C58E4" w:rsidRDefault="00CC570B"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rPr>
            </w:pPr>
          </w:p>
          <w:p w:rsidR="00C759C8" w:rsidRPr="007C58E4" w:rsidRDefault="00C759C8" w:rsidP="00C87DB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 xml:space="preserve">Pozn.: </w:t>
            </w:r>
          </w:p>
          <w:p w:rsidR="00C759C8" w:rsidRPr="007C58E4" w:rsidRDefault="00C759C8" w:rsidP="00C87DB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i/>
                <w:color w:val="000000"/>
                <w:lang w:val="sk-SK" w:eastAsia="sk-SK"/>
              </w:rPr>
              <w:t>Realizácia projektu predstavuje profesnú odbornosť, kvalifikáciu, spôsobilosť, legislatívne a materiálno-technické zázemie potrebné na zabezpečenie hlavných aktivít projektu</w:t>
            </w:r>
            <w:r w:rsidRPr="007C58E4">
              <w:rPr>
                <w:rFonts w:cs="Calibri"/>
                <w:color w:val="000000"/>
                <w:lang w:val="sk-SK" w:eastAsia="sk-SK"/>
              </w:rPr>
              <w:t xml:space="preserve">.  </w:t>
            </w:r>
          </w:p>
          <w:p w:rsidR="00C759C8" w:rsidRPr="007C58E4" w:rsidRDefault="00C759C8" w:rsidP="00C87DB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p>
          <w:p w:rsidR="00C759C8" w:rsidRPr="007C58E4" w:rsidRDefault="00C759C8" w:rsidP="00C87DB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
                <w:szCs w:val="22"/>
                <w:lang w:val="sk-SK" w:eastAsia="sk-SK"/>
              </w:rPr>
            </w:pPr>
            <w:r w:rsidRPr="007C58E4">
              <w:rPr>
                <w:rFonts w:cs="Calibri"/>
                <w:i/>
                <w:szCs w:val="22"/>
                <w:lang w:val="sk-SK" w:eastAsia="sk-SK"/>
              </w:rPr>
              <w:t>Prevádzková kapacita žiadateľa predstavuje profesnú odbornosť, kvalifikáciu, spôsobilosť, legislatívne a materiálno-technické zázemie potrebné na zabezpečenie výstupov projektu v danej oblasti po jeho ukončení.</w:t>
            </w:r>
          </w:p>
          <w:p w:rsidR="00C759C8" w:rsidRPr="007C58E4" w:rsidRDefault="00C759C8" w:rsidP="00C87DB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p>
          <w:p w:rsidR="00C759C8" w:rsidRPr="007C58E4" w:rsidRDefault="00C759C8" w:rsidP="006169D3">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lang w:val="sk-SK"/>
              </w:rPr>
              <w:t xml:space="preserve">Odborný hodnotiteľ vždy zdôvodní svoju odpoveď </w:t>
            </w:r>
            <w:r w:rsidRPr="007C58E4">
              <w:rPr>
                <w:rFonts w:cs="Calibri"/>
                <w:b/>
                <w:szCs w:val="22"/>
                <w:lang w:val="sk-SK"/>
              </w:rPr>
              <w:t xml:space="preserve">„ÁNO“/„NIE” </w:t>
            </w:r>
            <w:r w:rsidRPr="007C58E4">
              <w:rPr>
                <w:rFonts w:cs="Calibri"/>
                <w:b/>
                <w:lang w:val="sk-SK"/>
              </w:rPr>
              <w:t>v hodnotiacom hárku odborného hodnotenia</w:t>
            </w:r>
            <w:r w:rsidRPr="007C58E4">
              <w:rPr>
                <w:rFonts w:cs="Calibri"/>
                <w:lang w:val="sk-SK"/>
              </w:rPr>
              <w:t xml:space="preserve"> </w:t>
            </w:r>
            <w:r w:rsidRPr="007C58E4">
              <w:rPr>
                <w:rFonts w:cs="Calibri"/>
                <w:b/>
                <w:lang w:val="sk-SK"/>
              </w:rPr>
              <w:t xml:space="preserve">v časti Komentár a súčasne uvedie odkaz na dokument vrátane relevantnej časti </w:t>
            </w:r>
            <w:r w:rsidRPr="007C58E4">
              <w:rPr>
                <w:rFonts w:cs="Calibri"/>
                <w:lang w:val="sk-SK"/>
              </w:rPr>
              <w:t xml:space="preserve"> (ŽoNFP a relevantnej prílohy a pod.), na základe ktorej bolo vykonané hodnotenie. </w:t>
            </w:r>
          </w:p>
          <w:p w:rsidR="00C759C8" w:rsidRPr="007C58E4" w:rsidRDefault="00C759C8" w:rsidP="006169D3">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szCs w:val="22"/>
                <w:lang w:val="sk-SK"/>
              </w:rPr>
              <w:t xml:space="preserve">Projekt </w:t>
            </w:r>
            <w:r w:rsidRPr="007C58E4">
              <w:rPr>
                <w:rFonts w:cs="Calibri"/>
                <w:b/>
                <w:szCs w:val="22"/>
                <w:lang w:val="sk-SK"/>
              </w:rPr>
              <w:t>vyhovie</w:t>
            </w:r>
            <w:r w:rsidRPr="007C58E4">
              <w:rPr>
                <w:rFonts w:cs="Calibri"/>
                <w:szCs w:val="22"/>
                <w:lang w:val="sk-SK"/>
              </w:rPr>
              <w:t xml:space="preserve">, ak na hodnotiacu otázku odborný hodnotiteľ odpovie </w:t>
            </w:r>
            <w:r w:rsidRPr="007C58E4">
              <w:rPr>
                <w:rFonts w:cs="Calibri"/>
                <w:b/>
                <w:szCs w:val="22"/>
                <w:lang w:val="sk-SK"/>
              </w:rPr>
              <w:t xml:space="preserve">„ÁNO“. </w:t>
            </w:r>
          </w:p>
          <w:p w:rsidR="00C759C8" w:rsidRPr="007C58E4" w:rsidRDefault="00C759C8" w:rsidP="00666EA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 xml:space="preserve">V prípade, že odborný hodnotiteľ </w:t>
            </w:r>
            <w:r w:rsidRPr="007C58E4">
              <w:rPr>
                <w:rFonts w:cs="Calibri"/>
                <w:lang w:val="sk-SK"/>
              </w:rPr>
              <w:t>odpovie</w:t>
            </w:r>
            <w:r w:rsidRPr="007C58E4">
              <w:rPr>
                <w:rFonts w:cs="Calibri"/>
                <w:b/>
                <w:lang w:val="sk-SK"/>
              </w:rPr>
              <w:t xml:space="preserve"> “NIE”</w:t>
            </w:r>
            <w:r w:rsidRPr="007C58E4">
              <w:rPr>
                <w:rFonts w:cs="Calibri"/>
                <w:lang w:val="sk-SK"/>
              </w:rPr>
              <w:t xml:space="preserve"> </w:t>
            </w:r>
            <w:r w:rsidRPr="007C58E4">
              <w:rPr>
                <w:rFonts w:cs="Calibri"/>
                <w:color w:val="000000"/>
                <w:lang w:val="sk-SK" w:eastAsia="sk-SK"/>
              </w:rPr>
              <w:t xml:space="preserve"> je ŽoNFP vyradená zo schvaľovacieho procesu.</w:t>
            </w:r>
          </w:p>
        </w:tc>
      </w:tr>
      <w:tr w:rsidR="00C759C8" w:rsidRPr="007C58E4" w:rsidTr="000572BD">
        <w:trPr>
          <w:trHeight w:val="3042"/>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shd w:val="clear" w:color="auto" w:fill="auto"/>
          </w:tcPr>
          <w:p w:rsidR="00C759C8" w:rsidRPr="007C58E4" w:rsidRDefault="00C759C8" w:rsidP="003D7106">
            <w:pPr>
              <w:spacing w:before="0" w:after="0" w:line="240" w:lineRule="auto"/>
              <w:ind w:left="0" w:firstLine="0"/>
              <w:jc w:val="both"/>
              <w:rPr>
                <w:rFonts w:cs="Calibri"/>
                <w:lang w:val="sk-SK"/>
              </w:rPr>
            </w:pPr>
          </w:p>
        </w:tc>
        <w:tc>
          <w:tcPr>
            <w:tcW w:w="1453" w:type="dxa"/>
            <w:vMerge/>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25" w:type="dxa"/>
            <w:vMerge/>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560" w:type="dxa"/>
            <w:vMerge/>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502" w:type="dxa"/>
            <w:vMerge/>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shd w:val="clear" w:color="auto" w:fill="auto"/>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Áno</w:t>
            </w:r>
          </w:p>
        </w:tc>
        <w:tc>
          <w:tcPr>
            <w:tcW w:w="3186" w:type="dxa"/>
            <w:tcBorders>
              <w:right w:val="single" w:sz="4" w:space="0" w:color="808080" w:themeColor="background1" w:themeShade="80"/>
            </w:tcBorders>
            <w:shd w:val="clear" w:color="auto" w:fill="auto"/>
          </w:tcPr>
          <w:p w:rsidR="006F6F7E" w:rsidRPr="007C58E4" w:rsidRDefault="00C759C8"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 xml:space="preserve">Administratívne kapacity žiadateľa na riadenie </w:t>
            </w:r>
            <w:r w:rsidR="00722C1A" w:rsidRPr="007C58E4">
              <w:rPr>
                <w:rFonts w:cs="Calibri"/>
                <w:lang w:val="sk-SK" w:eastAsia="sk-SK"/>
              </w:rPr>
              <w:t xml:space="preserve">fázy II </w:t>
            </w:r>
            <w:r w:rsidRPr="007C58E4">
              <w:rPr>
                <w:rFonts w:cs="Calibri"/>
                <w:lang w:val="sk-SK" w:eastAsia="sk-SK"/>
              </w:rPr>
              <w:t xml:space="preserve">projektu podľa podmienok definovaných v príslušnej riadiacej dokumentácii pre implementáciu projektov v rámci OPII </w:t>
            </w:r>
            <w:r w:rsidRPr="007C58E4">
              <w:rPr>
                <w:rFonts w:cs="Calibri"/>
                <w:b/>
                <w:bCs/>
                <w:lang w:val="sk-SK" w:eastAsia="sk-SK"/>
              </w:rPr>
              <w:t>sú dostatočné</w:t>
            </w:r>
            <w:r w:rsidRPr="007C58E4">
              <w:rPr>
                <w:rFonts w:cs="Calibri"/>
                <w:lang w:val="sk-SK" w:eastAsia="sk-SK"/>
              </w:rPr>
              <w:t xml:space="preserve">. </w:t>
            </w:r>
          </w:p>
          <w:p w:rsidR="006F6F7E" w:rsidRPr="007C58E4" w:rsidRDefault="00C759C8" w:rsidP="006F6F7E">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Žiadateľ má zabezpečené</w:t>
            </w:r>
            <w:r w:rsidRPr="007C58E4">
              <w:rPr>
                <w:rFonts w:cs="Calibri"/>
                <w:color w:val="000000"/>
                <w:lang w:val="sk-SK" w:eastAsia="sk-SK"/>
              </w:rPr>
              <w:t>, resp. deklaruje zabezpečenie</w:t>
            </w:r>
            <w:r w:rsidRPr="007C58E4">
              <w:rPr>
                <w:rFonts w:cs="Calibri"/>
                <w:lang w:val="sk-SK" w:eastAsia="sk-SK"/>
              </w:rPr>
              <w:t xml:space="preserve"> riadenia </w:t>
            </w:r>
            <w:r w:rsidR="00722C1A" w:rsidRPr="007C58E4">
              <w:rPr>
                <w:rFonts w:cs="Calibri"/>
                <w:lang w:val="sk-SK" w:eastAsia="sk-SK"/>
              </w:rPr>
              <w:t xml:space="preserve">fázy II </w:t>
            </w:r>
            <w:r w:rsidR="006F6F7E" w:rsidRPr="007C58E4">
              <w:rPr>
                <w:rFonts w:cs="Calibri"/>
                <w:lang w:val="sk-SK" w:eastAsia="sk-SK"/>
              </w:rPr>
              <w:t>projektu:</w:t>
            </w:r>
          </w:p>
          <w:p w:rsidR="006F6F7E" w:rsidRPr="007C58E4" w:rsidRDefault="00C759C8" w:rsidP="006F6F7E">
            <w:pPr>
              <w:pStyle w:val="Odsekzoznamu"/>
              <w:numPr>
                <w:ilvl w:val="0"/>
                <w:numId w:val="35"/>
              </w:numPr>
              <w:spacing w:before="0" w:after="0" w:line="240" w:lineRule="auto"/>
              <w:ind w:left="377" w:hanging="284"/>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externými kapacitami so skúsenosťami v oblasti riadenia obdobných/</w:t>
            </w:r>
            <w:r w:rsidR="006F6F7E" w:rsidRPr="007C58E4">
              <w:rPr>
                <w:rFonts w:cs="Calibri"/>
                <w:lang w:val="sk-SK" w:eastAsia="sk-SK"/>
              </w:rPr>
              <w:t xml:space="preserve"> </w:t>
            </w:r>
            <w:r w:rsidRPr="007C58E4">
              <w:rPr>
                <w:rFonts w:cs="Calibri"/>
                <w:lang w:val="sk-SK" w:eastAsia="sk-SK"/>
              </w:rPr>
              <w:t xml:space="preserve">porovnateľných projektov, alebo </w:t>
            </w:r>
          </w:p>
          <w:p w:rsidR="00C759C8" w:rsidRPr="007C58E4" w:rsidRDefault="00C759C8" w:rsidP="006F6F7E">
            <w:pPr>
              <w:pStyle w:val="Odsekzoznamu"/>
              <w:numPr>
                <w:ilvl w:val="0"/>
                <w:numId w:val="35"/>
              </w:numPr>
              <w:spacing w:before="0" w:after="0" w:line="240" w:lineRule="auto"/>
              <w:ind w:left="377" w:hanging="284"/>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internými kapacitami primeranými rozsahu projektu, ktoré majú skúsenosti s riadením aspoň jedného obdobného/</w:t>
            </w:r>
            <w:r w:rsidR="006F6F7E" w:rsidRPr="007C58E4">
              <w:rPr>
                <w:rFonts w:cs="Calibri"/>
                <w:lang w:val="sk-SK" w:eastAsia="sk-SK"/>
              </w:rPr>
              <w:t xml:space="preserve"> </w:t>
            </w:r>
            <w:r w:rsidRPr="007C58E4">
              <w:rPr>
                <w:rFonts w:cs="Calibri"/>
                <w:lang w:val="sk-SK" w:eastAsia="sk-SK"/>
              </w:rPr>
              <w:t>porovnateľného projektu.</w:t>
            </w:r>
          </w:p>
          <w:p w:rsidR="00C759C8" w:rsidRPr="007C58E4" w:rsidRDefault="00C759C8"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p>
          <w:p w:rsidR="00C759C8" w:rsidRPr="007C58E4" w:rsidRDefault="00C759C8" w:rsidP="00CC570B">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Žiadateľ</w:t>
            </w:r>
            <w:r w:rsidRPr="007C58E4">
              <w:rPr>
                <w:rFonts w:cs="Calibri"/>
                <w:b/>
                <w:color w:val="000000"/>
                <w:lang w:val="sk-SK" w:eastAsia="sk-SK"/>
              </w:rPr>
              <w:t xml:space="preserve"> </w:t>
            </w:r>
            <w:r w:rsidRPr="007C58E4">
              <w:rPr>
                <w:rFonts w:cs="Calibri"/>
                <w:b/>
                <w:bCs/>
                <w:color w:val="000000"/>
                <w:lang w:val="sk-SK" w:eastAsia="sk-SK"/>
              </w:rPr>
              <w:t xml:space="preserve">disponuje </w:t>
            </w:r>
            <w:r w:rsidRPr="007C58E4">
              <w:rPr>
                <w:rFonts w:cs="Calibri"/>
                <w:color w:val="000000"/>
                <w:lang w:val="sk-SK" w:eastAsia="sk-SK"/>
              </w:rPr>
              <w:t xml:space="preserve">adekvátnym materiálno-technickým zázemím a dostatočnými internými administratívnymi kapacitami s náležitou odbornou spôsobilosťou a know-how pre realizáciu hlavných aktivít </w:t>
            </w:r>
            <w:r w:rsidR="00722C1A" w:rsidRPr="007C58E4">
              <w:rPr>
                <w:rFonts w:cs="Calibri"/>
                <w:color w:val="000000"/>
                <w:lang w:val="sk-SK" w:eastAsia="sk-SK"/>
              </w:rPr>
              <w:t xml:space="preserve">fázy II </w:t>
            </w:r>
            <w:r w:rsidRPr="007C58E4">
              <w:rPr>
                <w:rFonts w:cs="Calibri"/>
                <w:color w:val="000000"/>
                <w:lang w:val="sk-SK" w:eastAsia="sk-SK"/>
              </w:rPr>
              <w:t>projektu v danej oblasti, alebo má uvedené zázemie a/alebo kapacity zabezpečené prostredníctvom externého dodávateľa</w:t>
            </w:r>
            <w:r w:rsidR="006F6F7E" w:rsidRPr="007C58E4">
              <w:rPr>
                <w:rFonts w:cs="Calibri"/>
                <w:color w:val="000000"/>
                <w:lang w:val="sk-SK" w:eastAsia="sk-SK"/>
              </w:rPr>
              <w:t>,</w:t>
            </w:r>
            <w:r w:rsidRPr="007C58E4">
              <w:rPr>
                <w:rFonts w:cs="Calibri"/>
                <w:color w:val="000000"/>
                <w:lang w:val="sk-SK" w:eastAsia="sk-SK"/>
              </w:rPr>
              <w:t xml:space="preserve"> resp. ho plánuje obstarať.</w:t>
            </w:r>
          </w:p>
        </w:tc>
        <w:tc>
          <w:tcPr>
            <w:tcW w:w="4007" w:type="dxa"/>
            <w:vMerge/>
            <w:tcBorders>
              <w:left w:val="single" w:sz="4" w:space="0" w:color="808080" w:themeColor="background1" w:themeShade="80"/>
            </w:tcBorders>
            <w:shd w:val="clear" w:color="auto" w:fill="auto"/>
          </w:tcPr>
          <w:p w:rsidR="00C759C8" w:rsidRPr="007C58E4" w:rsidRDefault="00C759C8"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eastAsia="sk-SK"/>
              </w:rPr>
            </w:pPr>
          </w:p>
        </w:tc>
      </w:tr>
    </w:tbl>
    <w:p w:rsidR="00C759C8" w:rsidRPr="007C58E4" w:rsidRDefault="00C759C8" w:rsidP="00C759C8">
      <w:pPr>
        <w:spacing w:before="240" w:after="0"/>
        <w:rPr>
          <w:rFonts w:ascii="Arial Narrow" w:eastAsia="Times New Roman" w:hAnsi="Arial Narrow" w:cs="Times New Roman"/>
          <w:color w:val="0070C0"/>
          <w:szCs w:val="20"/>
        </w:rPr>
      </w:pPr>
      <w:r w:rsidRPr="007C58E4">
        <w:rPr>
          <w:rFonts w:ascii="Arial Narrow" w:eastAsia="Times New Roman" w:hAnsi="Arial Narrow" w:cs="Times New Roman"/>
          <w:color w:val="0070C0"/>
          <w:szCs w:val="20"/>
        </w:rPr>
        <w:t>FINANČNÁ A EKONOMICKÁ STRÁNKA PROJEKTU</w:t>
      </w:r>
    </w:p>
    <w:tbl>
      <w:tblPr>
        <w:tblStyle w:val="Deloittetable31"/>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2"/>
        <w:gridCol w:w="1272"/>
        <w:gridCol w:w="463"/>
        <w:gridCol w:w="1482"/>
        <w:gridCol w:w="3723"/>
        <w:gridCol w:w="644"/>
        <w:gridCol w:w="3127"/>
        <w:gridCol w:w="4018"/>
      </w:tblGrid>
      <w:tr w:rsidR="00C759C8" w:rsidRPr="007C58E4" w:rsidTr="000572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64" w:type="dxa"/>
            <w:gridSpan w:val="2"/>
            <w:tcBorders>
              <w:lef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rPr>
                <w:rFonts w:cs="Calibri"/>
                <w:lang w:val="sk-SK"/>
              </w:rPr>
            </w:pPr>
            <w:r w:rsidRPr="007C58E4">
              <w:rPr>
                <w:rFonts w:cs="Calibri"/>
                <w:bCs/>
                <w:lang w:val="sk-SK" w:eastAsia="sk-SK"/>
              </w:rPr>
              <w:t>Hodnotená oblasť</w:t>
            </w:r>
          </w:p>
        </w:tc>
        <w:tc>
          <w:tcPr>
            <w:tcW w:w="1945" w:type="dxa"/>
            <w:gridSpan w:val="2"/>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bCs/>
                <w:lang w:val="sk-SK" w:eastAsia="sk-SK"/>
              </w:rPr>
              <w:t>Hodnotiace kritérium</w:t>
            </w:r>
          </w:p>
        </w:tc>
        <w:tc>
          <w:tcPr>
            <w:tcW w:w="3723"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bCs/>
                <w:lang w:val="sk-SK" w:eastAsia="sk-SK"/>
              </w:rPr>
              <w:t>Predmet hodnotenia</w:t>
            </w:r>
          </w:p>
        </w:tc>
        <w:tc>
          <w:tcPr>
            <w:tcW w:w="644"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Hodno</w:t>
            </w:r>
          </w:p>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Cs/>
                <w:lang w:val="sk-SK" w:eastAsia="sk-SK"/>
              </w:rPr>
              <w:t>tenie</w:t>
            </w:r>
          </w:p>
        </w:tc>
        <w:tc>
          <w:tcPr>
            <w:tcW w:w="3127" w:type="dxa"/>
            <w:tcBorders>
              <w:righ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rPr>
            </w:pPr>
            <w:r w:rsidRPr="007C58E4">
              <w:rPr>
                <w:rFonts w:cs="Calibri"/>
                <w:bCs/>
                <w:lang w:val="sk-SK" w:eastAsia="sk-SK"/>
              </w:rPr>
              <w:t>Spôsob aplikácie hodnotiaceho kritéria</w:t>
            </w:r>
          </w:p>
        </w:tc>
        <w:tc>
          <w:tcPr>
            <w:tcW w:w="4018" w:type="dxa"/>
            <w:tcBorders>
              <w:left w:val="single" w:sz="4" w:space="0" w:color="808080" w:themeColor="background1" w:themeShade="80"/>
            </w:tcBorders>
            <w:shd w:val="clear" w:color="auto" w:fill="C9DD03" w:themeFill="accent6"/>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 xml:space="preserve">Spôsob </w:t>
            </w:r>
            <w:r w:rsidRPr="007C58E4">
              <w:rPr>
                <w:rFonts w:cs="Calibri"/>
                <w:bCs/>
                <w:shd w:val="clear" w:color="auto" w:fill="C9DD03" w:themeFill="accent6"/>
                <w:lang w:val="sk-SK" w:eastAsia="sk-SK"/>
              </w:rPr>
              <w:t>vyhodnocovania a poznámky</w:t>
            </w:r>
          </w:p>
        </w:tc>
      </w:tr>
      <w:tr w:rsidR="00FB6D9A" w:rsidRPr="007C58E4" w:rsidTr="00722C1A">
        <w:trPr>
          <w:trHeight w:val="174"/>
          <w:jc w:val="center"/>
        </w:trPr>
        <w:tc>
          <w:tcPr>
            <w:cnfStyle w:val="001000000000" w:firstRow="0" w:lastRow="0" w:firstColumn="1" w:lastColumn="0" w:oddVBand="0" w:evenVBand="0" w:oddHBand="0" w:evenHBand="0" w:firstRowFirstColumn="0" w:firstRowLastColumn="0" w:lastRowFirstColumn="0" w:lastRowLastColumn="0"/>
            <w:tcW w:w="292" w:type="dxa"/>
            <w:vMerge w:val="restart"/>
            <w:tcBorders>
              <w:left w:val="single" w:sz="4" w:space="0" w:color="808080" w:themeColor="background1" w:themeShade="80"/>
            </w:tcBorders>
            <w:shd w:val="clear" w:color="auto" w:fill="auto"/>
          </w:tcPr>
          <w:p w:rsidR="00FB6D9A" w:rsidRPr="007C58E4" w:rsidRDefault="00FB6D9A" w:rsidP="00722C1A">
            <w:pPr>
              <w:spacing w:before="0" w:after="0" w:line="240" w:lineRule="auto"/>
              <w:ind w:left="0" w:firstLine="0"/>
              <w:jc w:val="both"/>
              <w:rPr>
                <w:rFonts w:cs="Calibri"/>
                <w:lang w:val="sk-SK"/>
              </w:rPr>
            </w:pPr>
            <w:r w:rsidRPr="007C58E4">
              <w:rPr>
                <w:rFonts w:cs="Calibri"/>
                <w:color w:val="auto"/>
                <w:lang w:val="sk-SK"/>
              </w:rPr>
              <w:t>4.</w:t>
            </w:r>
            <w:r w:rsidRPr="007C58E4">
              <w:rPr>
                <w:rFonts w:cs="Calibri"/>
                <w:lang w:val="sk-SK"/>
              </w:rPr>
              <w:t>4</w:t>
            </w:r>
          </w:p>
        </w:tc>
        <w:tc>
          <w:tcPr>
            <w:tcW w:w="1272" w:type="dxa"/>
            <w:vMerge w:val="restart"/>
            <w:shd w:val="clear" w:color="auto" w:fill="auto"/>
          </w:tcPr>
          <w:p w:rsidR="00FB6D9A" w:rsidRPr="007C58E4" w:rsidRDefault="00FB6D9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Finančná a ekonomická stránka projektu</w:t>
            </w:r>
          </w:p>
        </w:tc>
        <w:tc>
          <w:tcPr>
            <w:tcW w:w="463" w:type="dxa"/>
            <w:vMerge w:val="restart"/>
            <w:shd w:val="clear" w:color="auto" w:fill="auto"/>
          </w:tcPr>
          <w:p w:rsidR="00FB6D9A" w:rsidRPr="007C58E4" w:rsidRDefault="00FB6D9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4.1</w:t>
            </w:r>
          </w:p>
        </w:tc>
        <w:tc>
          <w:tcPr>
            <w:tcW w:w="1482" w:type="dxa"/>
            <w:vMerge w:val="restart"/>
            <w:shd w:val="clear" w:color="auto" w:fill="auto"/>
          </w:tcPr>
          <w:p w:rsidR="00FB6D9A" w:rsidRPr="007C58E4" w:rsidRDefault="00FB6D9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Účelnosť a vecná oprávnenosť výdavkov projektu</w:t>
            </w:r>
          </w:p>
        </w:tc>
        <w:tc>
          <w:tcPr>
            <w:tcW w:w="3723" w:type="dxa"/>
            <w:vMerge w:val="restart"/>
            <w:shd w:val="clear" w:color="auto" w:fill="auto"/>
          </w:tcPr>
          <w:p w:rsidR="00FB6D9A" w:rsidRPr="007C58E4" w:rsidRDefault="00FB6D9A" w:rsidP="006F6F7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 xml:space="preserve">Posudzuje sa, či sú výdavky fázy II projektu vecne oprávnené v zmysle riadiacej dokumentácie OPII upravujúcej oblasť oprávnenosti výdavkov (Príručky pre žiadateľa, Príručky k oprávnenosti výdavkov) a vyzvania na predkladanie ŽoNFP a či spĺňajú podmienku účelnosti vzhľadom k stanoveným cieľom a očakávaným výstupom projektu (t.j. či sú potrebné/nevyhnutné na realizáciu projektu) a či celkové oprávnené výdavky projektu (za fázu I aj fázu II projektu) neboli v rozpočte projektu navýšené. </w:t>
            </w:r>
          </w:p>
          <w:p w:rsidR="00FB6D9A" w:rsidRPr="007C58E4" w:rsidRDefault="00FB6D9A" w:rsidP="006F6F7E">
            <w:pPr>
              <w:jc w:val="both"/>
              <w:cnfStyle w:val="000000000000" w:firstRow="0" w:lastRow="0" w:firstColumn="0" w:lastColumn="0" w:oddVBand="0" w:evenVBand="0" w:oddHBand="0" w:evenHBand="0" w:firstRowFirstColumn="0" w:firstRowLastColumn="0" w:lastRowFirstColumn="0" w:lastRowLastColumn="0"/>
              <w:rPr>
                <w:rFonts w:cs="Calibri"/>
                <w:lang w:val="sk-SK"/>
              </w:rPr>
            </w:pPr>
          </w:p>
          <w:p w:rsidR="00FB6D9A" w:rsidRPr="007C58E4" w:rsidRDefault="00FB6D9A" w:rsidP="006F6F7E">
            <w:pPr>
              <w:tabs>
                <w:tab w:val="left" w:pos="1695"/>
              </w:tabs>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ab/>
            </w:r>
          </w:p>
        </w:tc>
        <w:tc>
          <w:tcPr>
            <w:tcW w:w="644" w:type="dxa"/>
            <w:shd w:val="clear" w:color="auto" w:fill="auto"/>
          </w:tcPr>
          <w:p w:rsidR="00FB6D9A" w:rsidRPr="007C58E4" w:rsidRDefault="00FB6D9A"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color w:val="000000"/>
                <w:lang w:val="sk-SK" w:eastAsia="sk-SK"/>
              </w:rPr>
              <w:t>Nie</w:t>
            </w:r>
          </w:p>
        </w:tc>
        <w:tc>
          <w:tcPr>
            <w:tcW w:w="3127" w:type="dxa"/>
            <w:tcBorders>
              <w:right w:val="single" w:sz="4" w:space="0" w:color="808080" w:themeColor="background1" w:themeShade="80"/>
            </w:tcBorders>
            <w:shd w:val="clear" w:color="auto" w:fill="auto"/>
            <w:vAlign w:val="center"/>
          </w:tcPr>
          <w:p w:rsidR="00FB6D9A" w:rsidRPr="007C58E4" w:rsidRDefault="00FB6D9A" w:rsidP="00FB6D9A">
            <w:pPr>
              <w:spacing w:before="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bCs/>
                <w:lang w:val="sk-SK"/>
              </w:rPr>
              <w:t xml:space="preserve">Menej ako 75% </w:t>
            </w:r>
            <w:r w:rsidRPr="007C58E4">
              <w:rPr>
                <w:rFonts w:cs="Calibri"/>
                <w:lang w:val="sk-SK"/>
              </w:rPr>
              <w:t xml:space="preserve">finančnej hodnoty celkových oprávnených výdavkov fázy II projektu </w:t>
            </w:r>
            <w:r w:rsidRPr="007C58E4">
              <w:rPr>
                <w:rFonts w:cs="Calibri"/>
                <w:b/>
                <w:lang w:val="sk-SK"/>
              </w:rPr>
              <w:t>je</w:t>
            </w:r>
            <w:r w:rsidRPr="007C58E4">
              <w:rPr>
                <w:rFonts w:cs="Calibri"/>
                <w:lang w:val="sk-SK"/>
              </w:rPr>
              <w:t>:</w:t>
            </w:r>
          </w:p>
          <w:p w:rsidR="00FB6D9A" w:rsidRPr="007C58E4" w:rsidRDefault="00FB6D9A" w:rsidP="00FB6D9A">
            <w:pPr>
              <w:pStyle w:val="Odsekzoznamu"/>
              <w:numPr>
                <w:ilvl w:val="0"/>
                <w:numId w:val="23"/>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vecne oprávnených pre realizáciu v zmysle vyzvania na predkladanie ŽoNFP/Príručky pre žiadateľa/Príručky k oprávnenosti výdavkov, resp. inej riadiacej dokumentácie a/alebo</w:t>
            </w:r>
          </w:p>
          <w:p w:rsidR="00FB6D9A" w:rsidRPr="007C58E4" w:rsidRDefault="00FB6D9A" w:rsidP="001F1E12">
            <w:pPr>
              <w:pStyle w:val="Odsekzoznamu"/>
              <w:numPr>
                <w:ilvl w:val="0"/>
                <w:numId w:val="23"/>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potrebných pre realizáciu projektu vzhľadom k stanoveným cieľom a očakávaným výstupom.</w:t>
            </w:r>
          </w:p>
        </w:tc>
        <w:tc>
          <w:tcPr>
            <w:tcW w:w="4018" w:type="dxa"/>
            <w:vMerge w:val="restart"/>
            <w:tcBorders>
              <w:left w:val="single" w:sz="4" w:space="0" w:color="808080" w:themeColor="background1" w:themeShade="80"/>
            </w:tcBorders>
            <w:shd w:val="clear" w:color="auto" w:fill="auto"/>
          </w:tcPr>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Odborný hodnotiteľ overí </w:t>
            </w:r>
            <w:r w:rsidR="00E52E0E">
              <w:rPr>
                <w:rFonts w:cs="Calibri"/>
                <w:lang w:val="sk-SK"/>
              </w:rPr>
              <w:t xml:space="preserve">všetky nárokované </w:t>
            </w:r>
            <w:r w:rsidRPr="007C58E4">
              <w:rPr>
                <w:rFonts w:cs="Calibri"/>
                <w:lang w:val="sk-SK"/>
              </w:rPr>
              <w:t xml:space="preserve">výdavky na hlavné </w:t>
            </w:r>
            <w:r w:rsidR="00E52E0E">
              <w:rPr>
                <w:rFonts w:cs="Calibri"/>
                <w:lang w:val="sk-SK"/>
              </w:rPr>
              <w:t xml:space="preserve">aj podporné </w:t>
            </w:r>
            <w:r w:rsidRPr="007C58E4">
              <w:rPr>
                <w:rFonts w:cs="Calibri"/>
                <w:lang w:val="sk-SK"/>
              </w:rPr>
              <w:t>aktivity fázy II projektu z hľadiska ich nevyhnutnosti pre splnenie cieľov projektu a vzhľadom k očakávaným výstupom</w:t>
            </w:r>
            <w:r w:rsidR="00E52E0E">
              <w:rPr>
                <w:rFonts w:cs="Calibri"/>
                <w:lang w:val="sk-SK"/>
              </w:rPr>
              <w:t xml:space="preserve"> projektu</w:t>
            </w:r>
            <w:r w:rsidRPr="007C58E4">
              <w:rPr>
                <w:rFonts w:cs="Calibri"/>
                <w:lang w:val="sk-SK"/>
              </w:rPr>
              <w:t xml:space="preserve">. Zhodnotí, či  </w:t>
            </w:r>
            <w:r w:rsidR="00E52E0E">
              <w:rPr>
                <w:rFonts w:cs="Calibri"/>
                <w:lang w:val="sk-SK"/>
              </w:rPr>
              <w:t xml:space="preserve">všetky nárokované </w:t>
            </w:r>
            <w:r w:rsidRPr="007C58E4">
              <w:rPr>
                <w:rFonts w:cs="Calibri"/>
                <w:lang w:val="sk-SK"/>
              </w:rPr>
              <w:t xml:space="preserve">výdavky na hlavné </w:t>
            </w:r>
            <w:r w:rsidR="00E52E0E">
              <w:rPr>
                <w:rFonts w:cs="Calibri"/>
                <w:lang w:val="sk-SK"/>
              </w:rPr>
              <w:t xml:space="preserve">aj podporné </w:t>
            </w:r>
            <w:r w:rsidRPr="007C58E4">
              <w:rPr>
                <w:rFonts w:cs="Calibri"/>
                <w:lang w:val="sk-SK"/>
              </w:rPr>
              <w:t>aktivity</w:t>
            </w:r>
            <w:r w:rsidR="00E52E0E">
              <w:rPr>
                <w:rFonts w:cs="Calibri"/>
                <w:lang w:val="sk-SK"/>
              </w:rPr>
              <w:t xml:space="preserve"> projektu</w:t>
            </w:r>
            <w:r w:rsidRPr="007C58E4">
              <w:rPr>
                <w:rFonts w:cs="Calibri"/>
                <w:lang w:val="sk-SK"/>
              </w:rPr>
              <w:t xml:space="preserve"> sú v celom rozsahu pre splnenie cieľov projektu a naplnenie výstupov vecne oprávnené a účelné. </w:t>
            </w:r>
          </w:p>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Vecne neoprávnené a neúčelné výdavky sú výdavky, ktoré nie sú: </w:t>
            </w:r>
          </w:p>
          <w:p w:rsidR="00FB6D9A" w:rsidRPr="007C58E4" w:rsidRDefault="006F6F7E" w:rsidP="006F6F7E">
            <w:pPr>
              <w:pStyle w:val="Odsekzoznamu"/>
              <w:numPr>
                <w:ilvl w:val="0"/>
                <w:numId w:val="36"/>
              </w:numPr>
              <w:tabs>
                <w:tab w:val="clear" w:pos="420"/>
                <w:tab w:val="num" w:pos="195"/>
              </w:tabs>
              <w:spacing w:before="0" w:after="0" w:line="240" w:lineRule="auto"/>
              <w:ind w:left="195" w:hanging="141"/>
              <w:jc w:val="both"/>
              <w:cnfStyle w:val="000000000000" w:firstRow="0" w:lastRow="0" w:firstColumn="0" w:lastColumn="0" w:oddVBand="0" w:evenVBand="0" w:oddHBand="0" w:evenHBand="0" w:firstRowFirstColumn="0" w:firstRowLastColumn="0" w:lastRowFirstColumn="0" w:lastRowLastColumn="0"/>
              <w:rPr>
                <w:rFonts w:eastAsiaTheme="minorHAnsi" w:cs="Calibri"/>
                <w:lang w:val="sk-SK"/>
              </w:rPr>
            </w:pPr>
            <w:r w:rsidRPr="007C58E4">
              <w:rPr>
                <w:rFonts w:cs="Calibri"/>
                <w:lang w:val="sk-SK"/>
              </w:rPr>
              <w:t xml:space="preserve"> </w:t>
            </w:r>
            <w:r w:rsidR="00FB6D9A" w:rsidRPr="007C58E4">
              <w:rPr>
                <w:rFonts w:cs="Calibri"/>
                <w:lang w:val="sk-SK"/>
              </w:rPr>
              <w:t>pre realizáciu projektu nevyhnutné, a/alebo</w:t>
            </w:r>
          </w:p>
          <w:p w:rsidR="00FB6D9A" w:rsidRPr="007C58E4" w:rsidRDefault="006F6F7E" w:rsidP="006F6F7E">
            <w:pPr>
              <w:pStyle w:val="Odsekzoznamu"/>
              <w:numPr>
                <w:ilvl w:val="0"/>
                <w:numId w:val="36"/>
              </w:numPr>
              <w:tabs>
                <w:tab w:val="clear" w:pos="420"/>
                <w:tab w:val="num" w:pos="195"/>
              </w:tabs>
              <w:spacing w:before="0" w:after="0" w:line="240" w:lineRule="auto"/>
              <w:ind w:left="195" w:hanging="141"/>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  </w:t>
            </w:r>
            <w:r w:rsidR="00FB6D9A" w:rsidRPr="007C58E4">
              <w:rPr>
                <w:rFonts w:cs="Calibri"/>
                <w:lang w:val="sk-SK"/>
              </w:rPr>
              <w:t>vecne oprávnené podľa vyzvania na predkladanie ŽoNFP/Príručky pre žiadateľa/</w:t>
            </w:r>
            <w:r w:rsidRPr="007C58E4">
              <w:rPr>
                <w:rFonts w:cs="Calibri"/>
                <w:lang w:val="sk-SK"/>
              </w:rPr>
              <w:t xml:space="preserve"> </w:t>
            </w:r>
            <w:r w:rsidR="00FB6D9A" w:rsidRPr="007C58E4">
              <w:rPr>
                <w:rFonts w:cs="Calibri"/>
                <w:lang w:val="sk-SK"/>
              </w:rPr>
              <w:t xml:space="preserve">Príručky k oprávnenosti výdavkov  </w:t>
            </w:r>
            <w:r w:rsidR="001F1E12" w:rsidRPr="007C58E4">
              <w:rPr>
                <w:rFonts w:cs="Calibri"/>
                <w:lang w:val="sk-SK"/>
              </w:rPr>
              <w:t xml:space="preserve">OPII </w:t>
            </w:r>
            <w:r w:rsidR="00FB6D9A" w:rsidRPr="007C58E4">
              <w:rPr>
                <w:rFonts w:cs="Calibri"/>
                <w:lang w:val="sk-SK"/>
              </w:rPr>
              <w:t>alebo inej riadiacej dokumentácie.</w:t>
            </w:r>
          </w:p>
          <w:p w:rsidR="00FB6D9A" w:rsidRPr="007C58E4" w:rsidRDefault="00FB6D9A" w:rsidP="00CC570B">
            <w:pPr>
              <w:pStyle w:val="Odsekzoznamu"/>
              <w:spacing w:before="0" w:after="0" w:line="240" w:lineRule="auto"/>
              <w:ind w:left="42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Hodnotiteľ zároveň na základe informácií uvedených o prvej fáze projektu v ŽoNFP (resp. v zmluve o poskytnutí NFP na prvú fázu) overí, </w:t>
            </w:r>
            <w:r w:rsidRPr="007C58E4">
              <w:rPr>
                <w:rFonts w:cs="Calibri"/>
                <w:b/>
                <w:lang w:val="sk-SK"/>
              </w:rPr>
              <w:t>či celkové oprávnené výdavky celého projektu (jeho prvej aj druhej fázy) stanovené v pôvodnom projekte nie sú v ŽoNFP navýšené, resp. či výdavky nie sú duplicitné</w:t>
            </w:r>
            <w:r w:rsidRPr="007C58E4">
              <w:rPr>
                <w:rFonts w:cs="Calibri"/>
                <w:lang w:val="sk-SK"/>
              </w:rPr>
              <w:t xml:space="preserve"> (t.j. už boli nárokované v prvej fáze projektu). </w:t>
            </w:r>
          </w:p>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
                <w:color w:val="000000"/>
                <w:lang w:val="sk-SK"/>
              </w:rPr>
            </w:pPr>
            <w:r w:rsidRPr="007C58E4">
              <w:rPr>
                <w:rFonts w:cs="Calibri"/>
                <w:color w:val="000000"/>
                <w:lang w:val="sk-SK"/>
              </w:rPr>
              <w:t xml:space="preserve">V prípade identifikácie neoprávnených výdavkov projektu (napr. z titulu vecnej neoprávnenosti alebo neúčelnosti alebo matematickej chyby vzniknutej vo výpočte finančnej analýzy a pod.) sa v procese odborného hodnotenia výška celkových oprávnených výdavkov projektu adekvátne zníži </w:t>
            </w:r>
            <w:r w:rsidRPr="007C58E4">
              <w:rPr>
                <w:rFonts w:cs="Calibri"/>
                <w:lang w:val="sk-SK" w:eastAsia="sk-SK"/>
              </w:rPr>
              <w:t>a konkrétne skutočnosti – identifikáciu neoprávnených výdavkov, sumu identifikovaných neoprávnených výdavkov a zdôvodnenie, odborný hodnotiteľ uvedie v komentári Hodnotiaceho hárku.</w:t>
            </w:r>
          </w:p>
          <w:p w:rsidR="00FB6D9A" w:rsidRPr="007C58E4" w:rsidRDefault="00FB6D9A"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lang w:val="sk-SK"/>
              </w:rPr>
              <w:t>Odborný hodnotiteľ vždy zdôvodní svoju odpoveď „ÁNO“/„NIE” v Hodnotiacom hárku odborného hodnotenia</w:t>
            </w:r>
            <w:r w:rsidRPr="007C58E4">
              <w:rPr>
                <w:rFonts w:cs="Calibri"/>
                <w:lang w:val="sk-SK"/>
              </w:rPr>
              <w:t xml:space="preserve"> </w:t>
            </w:r>
            <w:r w:rsidRPr="007C58E4">
              <w:rPr>
                <w:rFonts w:cs="Calibri"/>
                <w:b/>
                <w:lang w:val="sk-SK"/>
              </w:rPr>
              <w:t xml:space="preserve">v časti Komentár a súčasne uvedie odkaz na dokument vrátane relevantnej časti </w:t>
            </w:r>
            <w:r w:rsidRPr="007C58E4">
              <w:rPr>
                <w:rFonts w:cs="Calibri"/>
                <w:lang w:val="sk-SK"/>
              </w:rPr>
              <w:t xml:space="preserve"> (ŽoNFP a relevantnej prílohy a pod.), na základe ktorej bolo vykonané hodnotenie. </w:t>
            </w:r>
          </w:p>
          <w:p w:rsidR="00FB6D9A" w:rsidRPr="007C58E4" w:rsidRDefault="00FB6D9A" w:rsidP="00CC570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color w:val="000000"/>
                <w:lang w:val="sk-SK"/>
              </w:rPr>
              <w:t>Ak odborný hodnotiteľ posúdi, že menej ako 75% finančnej hodnoty žiadateľom definovaných celkových oprávnených</w:t>
            </w:r>
            <w:r w:rsidRPr="007C58E4" w:rsidDel="00AA1F91">
              <w:rPr>
                <w:rFonts w:cs="Calibri"/>
                <w:color w:val="000000"/>
                <w:lang w:val="sk-SK"/>
              </w:rPr>
              <w:t xml:space="preserve"> </w:t>
            </w:r>
            <w:r w:rsidRPr="007C58E4">
              <w:rPr>
                <w:rFonts w:cs="Calibri"/>
                <w:color w:val="000000"/>
                <w:lang w:val="sk-SK"/>
              </w:rPr>
              <w:t xml:space="preserve">výdavkov projektu je vecne oprávnených a zároveň účelných vzhľadom k stanoveným cieľom a očakávaným výstupom projektu, projekt </w:t>
            </w:r>
            <w:r w:rsidRPr="007C58E4">
              <w:rPr>
                <w:rFonts w:cs="Calibri"/>
                <w:b/>
                <w:color w:val="000000"/>
                <w:lang w:val="sk-SK"/>
              </w:rPr>
              <w:t>nesplnil kritérium (uvedie odpoveď „NIE“ )</w:t>
            </w:r>
            <w:r w:rsidRPr="007C58E4">
              <w:rPr>
                <w:rFonts w:cs="Calibri"/>
                <w:color w:val="000000"/>
                <w:lang w:val="sk-SK"/>
              </w:rPr>
              <w:t xml:space="preserve"> účelnosti a vecnej oprávnenosti výdavkov projektu</w:t>
            </w:r>
            <w:r w:rsidRPr="007C58E4">
              <w:rPr>
                <w:rFonts w:cs="Calibri"/>
                <w:lang w:val="sk-SK" w:eastAsia="sk-SK"/>
              </w:rPr>
              <w:t xml:space="preserve"> a zdôvodnenie uvedie v komentári HH</w:t>
            </w:r>
            <w:r w:rsidRPr="007C58E4">
              <w:rPr>
                <w:rFonts w:cs="Calibri"/>
                <w:color w:val="000000"/>
                <w:lang w:val="sk-SK"/>
              </w:rPr>
              <w:t>.</w:t>
            </w:r>
          </w:p>
        </w:tc>
      </w:tr>
      <w:tr w:rsidR="00FB6D9A" w:rsidRPr="007C58E4" w:rsidTr="00FB6D9A">
        <w:trPr>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shd w:val="clear" w:color="auto" w:fill="auto"/>
          </w:tcPr>
          <w:p w:rsidR="00FB6D9A" w:rsidRPr="007C58E4" w:rsidRDefault="00FB6D9A" w:rsidP="003D7106">
            <w:pPr>
              <w:spacing w:before="0" w:after="0" w:line="240" w:lineRule="auto"/>
              <w:ind w:left="0" w:firstLine="0"/>
              <w:jc w:val="both"/>
              <w:rPr>
                <w:rFonts w:cs="Calibri"/>
                <w:lang w:val="sk-SK"/>
              </w:rPr>
            </w:pPr>
          </w:p>
        </w:tc>
        <w:tc>
          <w:tcPr>
            <w:tcW w:w="1272" w:type="dxa"/>
            <w:vMerge/>
            <w:shd w:val="clear" w:color="auto" w:fill="auto"/>
          </w:tcPr>
          <w:p w:rsidR="00FB6D9A" w:rsidRPr="007C58E4" w:rsidRDefault="00FB6D9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shd w:val="clear" w:color="auto" w:fill="auto"/>
            <w:vAlign w:val="center"/>
          </w:tcPr>
          <w:p w:rsidR="00FB6D9A" w:rsidRPr="007C58E4" w:rsidRDefault="00FB6D9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shd w:val="clear" w:color="auto" w:fill="auto"/>
            <w:vAlign w:val="center"/>
          </w:tcPr>
          <w:p w:rsidR="00FB6D9A" w:rsidRPr="007C58E4" w:rsidRDefault="00FB6D9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shd w:val="clear" w:color="auto" w:fill="auto"/>
            <w:vAlign w:val="center"/>
          </w:tcPr>
          <w:p w:rsidR="00FB6D9A" w:rsidRPr="007C58E4" w:rsidRDefault="00FB6D9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44" w:type="dxa"/>
            <w:shd w:val="clear" w:color="auto" w:fill="auto"/>
          </w:tcPr>
          <w:p w:rsidR="00FB6D9A" w:rsidRPr="007C58E4" w:rsidRDefault="00FB6D9A"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color w:val="000000"/>
                <w:lang w:val="sk-SK" w:eastAsia="sk-SK"/>
              </w:rPr>
              <w:t>Áno</w:t>
            </w:r>
          </w:p>
        </w:tc>
        <w:tc>
          <w:tcPr>
            <w:tcW w:w="3127" w:type="dxa"/>
            <w:tcBorders>
              <w:right w:val="single" w:sz="4" w:space="0" w:color="808080" w:themeColor="background1" w:themeShade="80"/>
            </w:tcBorders>
            <w:shd w:val="clear" w:color="auto" w:fill="auto"/>
            <w:vAlign w:val="center"/>
          </w:tcPr>
          <w:p w:rsidR="00FB6D9A" w:rsidRPr="007C58E4" w:rsidRDefault="00FB6D9A" w:rsidP="00FB6D9A">
            <w:pPr>
              <w:spacing w:before="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bCs/>
                <w:lang w:val="sk-SK"/>
              </w:rPr>
              <w:t xml:space="preserve">75 </w:t>
            </w:r>
            <w:r w:rsidRPr="007C58E4">
              <w:rPr>
                <w:rFonts w:cs="Calibri"/>
                <w:b/>
                <w:lang w:val="sk-SK"/>
              </w:rPr>
              <w:t>% a viac</w:t>
            </w:r>
            <w:r w:rsidRPr="007C58E4">
              <w:rPr>
                <w:rFonts w:cs="Calibri"/>
                <w:lang w:val="sk-SK"/>
              </w:rPr>
              <w:t xml:space="preserve"> finančnej hodnoty celkových oprávnených</w:t>
            </w:r>
            <w:r w:rsidRPr="007C58E4" w:rsidDel="00AA1F91">
              <w:rPr>
                <w:rFonts w:cs="Calibri"/>
                <w:lang w:val="sk-SK"/>
              </w:rPr>
              <w:t xml:space="preserve"> </w:t>
            </w:r>
            <w:r w:rsidRPr="007C58E4">
              <w:rPr>
                <w:rFonts w:cs="Calibri"/>
                <w:lang w:val="sk-SK"/>
              </w:rPr>
              <w:t xml:space="preserve">výdavkov fázy II projektu </w:t>
            </w:r>
            <w:r w:rsidRPr="007C58E4">
              <w:rPr>
                <w:rFonts w:cs="Calibri"/>
                <w:b/>
                <w:lang w:val="sk-SK"/>
              </w:rPr>
              <w:t>je</w:t>
            </w:r>
            <w:r w:rsidRPr="007C58E4">
              <w:rPr>
                <w:rFonts w:cs="Calibri"/>
                <w:lang w:val="sk-SK"/>
              </w:rPr>
              <w:t>:</w:t>
            </w:r>
          </w:p>
          <w:p w:rsidR="00FB6D9A" w:rsidRPr="007C58E4" w:rsidRDefault="00FB6D9A" w:rsidP="00FB6D9A">
            <w:pPr>
              <w:pStyle w:val="Odsekzoznamu"/>
              <w:numPr>
                <w:ilvl w:val="0"/>
                <w:numId w:val="30"/>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vecne oprávnených pre realizáciu v zmysle vyzvania na predkladanie ŽoNFP/Príručky pre žiadateľa/Príručky k oprávnenosti výdavkov</w:t>
            </w:r>
            <w:r w:rsidR="001F1E12" w:rsidRPr="007C58E4">
              <w:rPr>
                <w:rFonts w:cs="Calibri"/>
                <w:lang w:val="sk-SK"/>
              </w:rPr>
              <w:t xml:space="preserve"> OPII</w:t>
            </w:r>
            <w:r w:rsidRPr="007C58E4">
              <w:rPr>
                <w:rFonts w:cs="Calibri"/>
                <w:lang w:val="sk-SK"/>
              </w:rPr>
              <w:t xml:space="preserve">  alebo inej riadiacej dokumentácie a zároveň</w:t>
            </w:r>
          </w:p>
          <w:p w:rsidR="00FB6D9A" w:rsidRPr="007C58E4" w:rsidRDefault="00FB6D9A" w:rsidP="00FB6D9A">
            <w:pPr>
              <w:pStyle w:val="Odsekzoznamu"/>
              <w:numPr>
                <w:ilvl w:val="0"/>
                <w:numId w:val="30"/>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potrebných pre realizáciu projektu vzhľadom k stanoveným cieľom a očakávaným výstupom.</w:t>
            </w:r>
          </w:p>
          <w:p w:rsidR="00FB6D9A" w:rsidRPr="007C58E4" w:rsidRDefault="00FB6D9A" w:rsidP="00FB6D9A">
            <w:pPr>
              <w:spacing w:before="6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p>
        </w:tc>
        <w:tc>
          <w:tcPr>
            <w:tcW w:w="4018" w:type="dxa"/>
            <w:vMerge/>
            <w:tcBorders>
              <w:left w:val="single" w:sz="4" w:space="0" w:color="808080" w:themeColor="background1" w:themeShade="80"/>
            </w:tcBorders>
            <w:shd w:val="clear" w:color="auto" w:fill="auto"/>
          </w:tcPr>
          <w:p w:rsidR="00FB6D9A" w:rsidRPr="007C58E4" w:rsidRDefault="00FB6D9A"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lang w:val="sk-SK" w:eastAsia="sk-SK"/>
              </w:rPr>
            </w:pPr>
          </w:p>
        </w:tc>
      </w:tr>
      <w:tr w:rsidR="00C759C8" w:rsidRPr="007C58E4" w:rsidTr="000572BD">
        <w:trPr>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shd w:val="clear" w:color="auto" w:fill="auto"/>
          </w:tcPr>
          <w:p w:rsidR="00C759C8" w:rsidRPr="007C58E4" w:rsidRDefault="00C759C8" w:rsidP="003D7106">
            <w:pPr>
              <w:spacing w:before="0" w:after="0" w:line="240" w:lineRule="auto"/>
              <w:ind w:left="0" w:firstLine="0"/>
              <w:jc w:val="both"/>
              <w:rPr>
                <w:rFonts w:cs="Calibri"/>
                <w:lang w:val="sk-SK"/>
              </w:rPr>
            </w:pPr>
          </w:p>
        </w:tc>
        <w:tc>
          <w:tcPr>
            <w:tcW w:w="1272" w:type="dxa"/>
            <w:vMerge/>
            <w:shd w:val="clear" w:color="auto" w:fill="auto"/>
          </w:tcPr>
          <w:p w:rsidR="00C759C8" w:rsidRPr="007C58E4" w:rsidRDefault="00C759C8"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val="restart"/>
            <w:shd w:val="clear" w:color="auto" w:fill="auto"/>
          </w:tcPr>
          <w:p w:rsidR="00C759C8" w:rsidRPr="007C58E4" w:rsidRDefault="00722C1A"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en-AU"/>
              </w:rPr>
            </w:pPr>
            <w:r w:rsidRPr="007C58E4">
              <w:rPr>
                <w:rFonts w:cs="Calibri"/>
                <w:color w:val="000000"/>
                <w:lang w:val="sk-SK" w:eastAsia="en-AU"/>
              </w:rPr>
              <w:t>4</w:t>
            </w:r>
            <w:r w:rsidR="00C759C8" w:rsidRPr="007C58E4">
              <w:rPr>
                <w:rFonts w:cs="Calibri"/>
                <w:color w:val="000000"/>
                <w:lang w:val="sk-SK" w:eastAsia="en-AU"/>
              </w:rPr>
              <w:t>.2</w:t>
            </w:r>
          </w:p>
        </w:tc>
        <w:tc>
          <w:tcPr>
            <w:tcW w:w="1482" w:type="dxa"/>
            <w:vMerge w:val="restart"/>
            <w:shd w:val="clear" w:color="auto" w:fill="auto"/>
          </w:tcPr>
          <w:p w:rsidR="00C759C8" w:rsidRPr="007C58E4" w:rsidRDefault="00C759C8"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en-AU"/>
              </w:rPr>
            </w:pPr>
            <w:r w:rsidRPr="007C58E4">
              <w:rPr>
                <w:rFonts w:cs="Calibri"/>
                <w:color w:val="000000"/>
                <w:lang w:val="sk-SK" w:eastAsia="en-AU"/>
              </w:rPr>
              <w:t>Hospodárnosť a efektívnosť výdavkov projektu</w:t>
            </w:r>
          </w:p>
        </w:tc>
        <w:tc>
          <w:tcPr>
            <w:tcW w:w="3723" w:type="dxa"/>
            <w:vMerge w:val="restart"/>
            <w:shd w:val="clear" w:color="auto" w:fill="auto"/>
          </w:tcPr>
          <w:p w:rsidR="00C759C8" w:rsidRPr="007C58E4" w:rsidRDefault="00C759C8" w:rsidP="00C759C8">
            <w:pPr>
              <w:pStyle w:val="Tabtext"/>
              <w:jc w:val="both"/>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Posudzuje sa, či navrhnuté výdavky</w:t>
            </w:r>
            <w:r w:rsidR="00722C1A" w:rsidRPr="007C58E4">
              <w:rPr>
                <w:rFonts w:cs="Calibri"/>
                <w:sz w:val="20"/>
                <w:lang w:val="sk-SK"/>
              </w:rPr>
              <w:t xml:space="preserve"> fázy II </w:t>
            </w:r>
            <w:r w:rsidRPr="007C58E4">
              <w:rPr>
                <w:rFonts w:cs="Calibri"/>
                <w:sz w:val="20"/>
                <w:lang w:val="sk-SK"/>
              </w:rPr>
              <w:t xml:space="preserve">projektu spĺňajú podmienku hospodárnosti a efektívnosti a či zodpovedajú obvyklým cenám v danom mieste a čase. </w:t>
            </w:r>
          </w:p>
          <w:p w:rsidR="00722C1A" w:rsidRPr="007C58E4" w:rsidRDefault="00722C1A" w:rsidP="00722C1A">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 xml:space="preserve">Uvedené sa overuje prostredníctvom finančných limitov, príp. zrealizovaného verejného obstarávania, vykonaného prieskumu trhu alebo ďalších nástrojov na overenie hospodárnosti a efektívnosti výdavkov (napr. znalecký posudok, štátne expertízy, rezortné expertízy). </w:t>
            </w:r>
          </w:p>
          <w:p w:rsidR="00C759C8" w:rsidRPr="007C58E4" w:rsidRDefault="00C759C8" w:rsidP="00E77AD4">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44" w:type="dxa"/>
            <w:shd w:val="clear" w:color="auto" w:fill="auto"/>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color w:val="000000"/>
                <w:lang w:val="sk-SK"/>
              </w:rPr>
              <w:t>Nie</w:t>
            </w:r>
          </w:p>
        </w:tc>
        <w:tc>
          <w:tcPr>
            <w:tcW w:w="3127" w:type="dxa"/>
            <w:tcBorders>
              <w:right w:val="single" w:sz="4" w:space="0" w:color="auto"/>
            </w:tcBorders>
            <w:shd w:val="clear" w:color="auto" w:fill="auto"/>
            <w:vAlign w:val="center"/>
          </w:tcPr>
          <w:p w:rsidR="00474E18" w:rsidRPr="007C58E4" w:rsidRDefault="00474E18" w:rsidP="00474E18">
            <w:pPr>
              <w:pStyle w:val="Tabtext"/>
              <w:jc w:val="both"/>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 xml:space="preserve">Žiadané výdavky </w:t>
            </w:r>
            <w:r w:rsidR="00722C1A" w:rsidRPr="007C58E4">
              <w:rPr>
                <w:rFonts w:cs="Calibri"/>
                <w:sz w:val="20"/>
                <w:lang w:val="sk-SK"/>
              </w:rPr>
              <w:t xml:space="preserve">fázy II </w:t>
            </w:r>
            <w:r w:rsidRPr="007C58E4">
              <w:rPr>
                <w:rFonts w:cs="Calibri"/>
                <w:sz w:val="20"/>
                <w:lang w:val="sk-SK"/>
              </w:rPr>
              <w:t>projektu nie sú hospodárne a efektívne alebo nezodpovedajú obvyklým cenám v danom čase a mieste.</w:t>
            </w:r>
          </w:p>
          <w:p w:rsidR="00267B63" w:rsidRPr="007C58E4" w:rsidRDefault="00267B63" w:rsidP="00722C1A">
            <w:pPr>
              <w:pStyle w:val="Tabtext"/>
              <w:jc w:val="both"/>
              <w:cnfStyle w:val="000000000000" w:firstRow="0" w:lastRow="0" w:firstColumn="0" w:lastColumn="0" w:oddVBand="0" w:evenVBand="0" w:oddHBand="0" w:evenHBand="0" w:firstRowFirstColumn="0" w:firstRowLastColumn="0" w:lastRowFirstColumn="0" w:lastRowLastColumn="0"/>
              <w:rPr>
                <w:rFonts w:eastAsiaTheme="minorHAnsi" w:cs="Calibri"/>
                <w:color w:val="000000"/>
                <w:szCs w:val="22"/>
                <w:lang w:val="sk-SK"/>
              </w:rPr>
            </w:pPr>
          </w:p>
        </w:tc>
        <w:tc>
          <w:tcPr>
            <w:tcW w:w="4018" w:type="dxa"/>
            <w:vMerge w:val="restart"/>
            <w:tcBorders>
              <w:left w:val="single" w:sz="4" w:space="0" w:color="auto"/>
            </w:tcBorders>
            <w:shd w:val="clear" w:color="auto" w:fill="auto"/>
          </w:tcPr>
          <w:p w:rsidR="00E52E0E"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Cs/>
                <w:color w:val="000000"/>
                <w:lang w:val="sk-SK"/>
              </w:rPr>
            </w:pPr>
            <w:r w:rsidRPr="007C58E4">
              <w:rPr>
                <w:rFonts w:cs="Calibri"/>
                <w:lang w:val="sk-SK" w:eastAsia="sk-SK"/>
              </w:rPr>
              <w:t xml:space="preserve">Odborný hodnotiteľ </w:t>
            </w:r>
            <w:r w:rsidRPr="007C58E4">
              <w:rPr>
                <w:rFonts w:cs="Calibri"/>
                <w:color w:val="000000"/>
                <w:lang w:val="sk-SK"/>
              </w:rPr>
              <w:t>vyhodnotí, či navrhnuté výdavky projektu spĺňajú podmienku hospodárnosti a efektívnosti a či zodpovedajú obvyklým cenám v danom mieste a</w:t>
            </w:r>
            <w:r w:rsidR="00E52E0E">
              <w:rPr>
                <w:rFonts w:cs="Calibri"/>
                <w:color w:val="000000"/>
                <w:lang w:val="sk-SK"/>
              </w:rPr>
              <w:t> </w:t>
            </w:r>
            <w:r w:rsidRPr="007C58E4">
              <w:rPr>
                <w:rFonts w:cs="Calibri"/>
                <w:color w:val="000000"/>
                <w:lang w:val="sk-SK"/>
              </w:rPr>
              <w:t>čase</w:t>
            </w:r>
            <w:r w:rsidR="00E52E0E">
              <w:rPr>
                <w:rFonts w:cs="Calibri"/>
                <w:color w:val="000000"/>
                <w:lang w:val="sk-SK"/>
              </w:rPr>
              <w:t>.</w:t>
            </w:r>
          </w:p>
          <w:p w:rsidR="00E52E0E" w:rsidRDefault="00E52E0E"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color w:val="000000"/>
                <w:lang w:val="sk-SK"/>
              </w:rPr>
              <w:t>Pri posudzovaní týchto podmienok hospodárnosti a efektívnosti postupuje odborný hodnotiteľ najmä v súlade s ustanoveniami tejto príručky, PkOV (kap. č. 6)</w:t>
            </w:r>
            <w:r w:rsidR="00823583">
              <w:rPr>
                <w:rFonts w:ascii="Arial Narrow" w:hAnsi="Arial Narrow"/>
                <w:color w:val="000000"/>
                <w:lang w:val="sk-SK"/>
              </w:rPr>
              <w:t>, ktorá detailne zohľadňuje princípy</w:t>
            </w:r>
            <w:r>
              <w:rPr>
                <w:rFonts w:ascii="Arial Narrow" w:hAnsi="Arial Narrow"/>
                <w:color w:val="000000"/>
                <w:lang w:val="sk-SK"/>
              </w:rPr>
              <w:t xml:space="preserve"> a </w:t>
            </w:r>
            <w:r w:rsidRPr="00AC2877">
              <w:rPr>
                <w:rFonts w:ascii="Arial Narrow" w:hAnsi="Arial Narrow"/>
                <w:color w:val="000000"/>
              </w:rPr>
              <w:t>MP CKO č.18 k overovaniu hospodárnosti výdavkov.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rsidR="00B65B99" w:rsidRPr="00B65B99" w:rsidRDefault="00B65B99" w:rsidP="00B65B9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860758">
              <w:rPr>
                <w:rFonts w:ascii="Arial Narrow" w:hAnsi="Arial Narrow"/>
                <w:color w:val="000000"/>
              </w:rPr>
              <w:t>Odborný hodnotiteľ je povinný vykonať vždy svoje vlastné a nezávislé overenie hospodárnosti a efektívnosti všetkých navrhovaných výdavkov projektu</w:t>
            </w:r>
            <w:r w:rsidRPr="00B65B99">
              <w:rPr>
                <w:rFonts w:ascii="Arial Narrow" w:hAnsi="Arial Narrow"/>
                <w:color w:val="000000"/>
                <w:lang w:val="sk-SK"/>
              </w:rPr>
              <w:t xml:space="preserve"> (vrátane tých výdavkov projektu pri ktorých je proces verejného obstarávania už skončený a ku ktorým existuje platná a účinná zmluva s dodávateľom / zhotoviteľom, pretože zrealizované verejné obstarávanie nie je v podmienkach implementácie OPII automaticky považované za garanciu dodržania princípov hospodárnosti a efektívnosti výdavkov).</w:t>
            </w:r>
          </w:p>
          <w:p w:rsidR="00B65B99" w:rsidRDefault="00B65B99"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Uvedené sa overuje prostredníctvom</w:t>
            </w:r>
            <w:r>
              <w:rPr>
                <w:rFonts w:ascii="Arial Narrow" w:hAnsi="Arial Narrow"/>
                <w:color w:val="000000"/>
                <w:lang w:val="sk-SK"/>
              </w:rPr>
              <w:t xml:space="preserve"> použitia nasledovných nástrojov overovania hospodárnosti a efektívnosti výdavkov: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rsidR="00E52E0E"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779B9">
              <w:rPr>
                <w:rFonts w:ascii="Arial Narrow" w:hAnsi="Arial Narrow"/>
                <w:color w:val="000000"/>
                <w:lang w:val="sk-SK"/>
              </w:rPr>
              <w:t>finančn</w:t>
            </w:r>
            <w:r>
              <w:rPr>
                <w:rFonts w:ascii="Arial Narrow" w:hAnsi="Arial Narrow"/>
                <w:color w:val="000000"/>
                <w:lang w:val="sk-SK"/>
              </w:rPr>
              <w:t>é</w:t>
            </w:r>
            <w:r w:rsidRPr="002779B9">
              <w:rPr>
                <w:rFonts w:ascii="Arial Narrow" w:hAnsi="Arial Narrow"/>
                <w:color w:val="000000"/>
                <w:lang w:val="sk-SK"/>
              </w:rPr>
              <w:t xml:space="preserve"> limit</w:t>
            </w:r>
            <w:r>
              <w:rPr>
                <w:rFonts w:ascii="Arial Narrow" w:hAnsi="Arial Narrow"/>
                <w:color w:val="000000"/>
                <w:lang w:val="sk-SK"/>
              </w:rPr>
              <w:t>y na úrovni jednotkových výdavkov stanovené RO OPII v príslušnom vyzvaní (povinný nástroj)</w:t>
            </w:r>
            <w:r w:rsidRPr="002779B9">
              <w:rPr>
                <w:rFonts w:ascii="Arial Narrow" w:hAnsi="Arial Narrow"/>
                <w:color w:val="000000"/>
                <w:lang w:val="sk-SK"/>
              </w:rPr>
              <w:t>,</w:t>
            </w:r>
          </w:p>
          <w:p w:rsidR="00E52E0E"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877">
              <w:rPr>
                <w:rFonts w:ascii="Arial Narrow" w:hAnsi="Arial Narrow"/>
                <w:color w:val="000000"/>
              </w:rPr>
              <w:t>percentuálne limity na úrovni skupín výdavkov stanovené RO OPII v príslušnom vyzvaní</w:t>
            </w:r>
            <w:r>
              <w:rPr>
                <w:rFonts w:ascii="Arial Narrow" w:hAnsi="Arial Narrow"/>
                <w:color w:val="000000"/>
              </w:rPr>
              <w:t xml:space="preserve"> (povinný nástroj)</w:t>
            </w:r>
            <w:r w:rsidRPr="00AC2877">
              <w:rPr>
                <w:rFonts w:ascii="Arial Narrow" w:hAnsi="Arial Narrow"/>
                <w:color w:val="000000"/>
              </w:rPr>
              <w:t>,</w:t>
            </w:r>
          </w:p>
          <w:p w:rsidR="00E52E0E" w:rsidRPr="00AC2877" w:rsidRDefault="00823583"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8469B0">
              <w:rPr>
                <w:rFonts w:ascii="Arial Narrow" w:hAnsi="Arial Narrow"/>
                <w:bCs/>
                <w:color w:val="000000"/>
                <w:lang w:val="sk-SK"/>
              </w:rPr>
              <w:t>ukončené verejné obstarávanie alebo ukončené obstarávanie</w:t>
            </w:r>
            <w:r w:rsidR="00E52E0E">
              <w:rPr>
                <w:rFonts w:ascii="Arial Narrow" w:hAnsi="Arial Narrow"/>
                <w:color w:val="000000"/>
              </w:rPr>
              <w:t>,</w:t>
            </w:r>
          </w:p>
          <w:p w:rsidR="00E52E0E" w:rsidRPr="00C75FA7"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877">
              <w:rPr>
                <w:rFonts w:ascii="Arial Narrow" w:hAnsi="Arial Narrow"/>
                <w:color w:val="000000"/>
              </w:rPr>
              <w:t>prieskum trhu,</w:t>
            </w:r>
          </w:p>
          <w:p w:rsidR="00E52E0E" w:rsidRPr="00AC2877"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877">
              <w:rPr>
                <w:rFonts w:ascii="Arial Narrow" w:hAnsi="Arial Narrow"/>
                <w:color w:val="000000"/>
              </w:rPr>
              <w:t>expertízne posúdenie (štátna / rezortná expertíza),</w:t>
            </w:r>
          </w:p>
          <w:p w:rsidR="00E52E0E" w:rsidRPr="00C06253" w:rsidRDefault="00823583"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F04">
              <w:rPr>
                <w:rFonts w:ascii="Arial Narrow" w:hAnsi="Arial Narrow"/>
                <w:color w:val="000000"/>
              </w:rPr>
              <w:t>cenníky prác súvisiace s prípravou a realizáciou stavieb (napr. Cenkros, UNIKA, a pod.</w:t>
            </w:r>
            <w:r w:rsidR="00E52E0E">
              <w:rPr>
                <w:rFonts w:ascii="Arial Narrow" w:hAnsi="Arial Narrow"/>
                <w:color w:val="000000"/>
              </w:rPr>
              <w:t>,</w:t>
            </w:r>
          </w:p>
          <w:p w:rsidR="00E52E0E" w:rsidRPr="00AC2877"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color w:val="000000"/>
              </w:rPr>
              <w:t>odborný</w:t>
            </w:r>
            <w:r w:rsidRPr="00AC2877">
              <w:rPr>
                <w:rFonts w:ascii="Arial Narrow" w:hAnsi="Arial Narrow"/>
                <w:color w:val="000000"/>
              </w:rPr>
              <w:t xml:space="preserve"> posudok</w:t>
            </w:r>
            <w:r w:rsidR="00823583">
              <w:rPr>
                <w:rFonts w:ascii="Arial Narrow" w:hAnsi="Arial Narrow"/>
                <w:color w:val="000000"/>
              </w:rPr>
              <w:t xml:space="preserve"> / úkon znalca</w:t>
            </w:r>
            <w:r w:rsidRPr="00AC2877">
              <w:rPr>
                <w:rFonts w:ascii="Arial Narrow" w:hAnsi="Arial Narrow"/>
                <w:color w:val="000000"/>
              </w:rPr>
              <w:t>,</w:t>
            </w:r>
          </w:p>
          <w:p w:rsidR="00E52E0E"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3A049B">
              <w:rPr>
                <w:rFonts w:ascii="Arial Narrow" w:hAnsi="Arial Narrow"/>
                <w:color w:val="000000"/>
              </w:rPr>
              <w:t>historická analýza cien</w:t>
            </w:r>
            <w:r>
              <w:rPr>
                <w:rFonts w:ascii="Arial Narrow" w:hAnsi="Arial Narrow"/>
                <w:color w:val="000000"/>
              </w:rPr>
              <w:t xml:space="preserve"> </w:t>
            </w:r>
            <w:r w:rsidRPr="007A467B">
              <w:rPr>
                <w:rFonts w:ascii="Arial Narrow" w:hAnsi="Arial Narrow"/>
                <w:color w:val="000000"/>
              </w:rPr>
              <w:t xml:space="preserve">(aplikácia </w:t>
            </w:r>
            <w:r>
              <w:rPr>
                <w:rFonts w:ascii="Arial Narrow" w:hAnsi="Arial Narrow"/>
                <w:color w:val="000000"/>
              </w:rPr>
              <w:t>tohto</w:t>
            </w:r>
            <w:r w:rsidRPr="007A467B">
              <w:rPr>
                <w:rFonts w:ascii="Arial Narrow" w:hAnsi="Arial Narrow"/>
                <w:color w:val="000000"/>
              </w:rPr>
              <w:t xml:space="preserve"> nástroj</w:t>
            </w:r>
            <w:r>
              <w:rPr>
                <w:rFonts w:ascii="Arial Narrow" w:hAnsi="Arial Narrow"/>
                <w:color w:val="000000"/>
              </w:rPr>
              <w:t>a</w:t>
            </w:r>
            <w:r w:rsidRPr="007A467B">
              <w:rPr>
                <w:rFonts w:ascii="Arial Narrow" w:hAnsi="Arial Narrow"/>
                <w:color w:val="000000"/>
              </w:rPr>
              <w:t xml:space="preserve"> podlieha ex-ante odsúhlaseniu RO)</w:t>
            </w:r>
            <w:r>
              <w:rPr>
                <w:rFonts w:ascii="Arial Narrow" w:hAnsi="Arial Narrow"/>
                <w:color w:val="000000"/>
              </w:rPr>
              <w:t>,</w:t>
            </w:r>
          </w:p>
          <w:p w:rsidR="00E52E0E" w:rsidRPr="00AC2877"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877">
              <w:rPr>
                <w:rFonts w:ascii="Arial Narrow" w:hAnsi="Arial Narrow"/>
                <w:color w:val="000000"/>
              </w:rPr>
              <w:t xml:space="preserve">iné nástroje overenia hospodárnosti a efektívnosti výdavkov (aplikácia </w:t>
            </w:r>
            <w:r>
              <w:rPr>
                <w:rFonts w:ascii="Arial Narrow" w:hAnsi="Arial Narrow"/>
                <w:color w:val="000000"/>
              </w:rPr>
              <w:t>tohto</w:t>
            </w:r>
            <w:r w:rsidRPr="00AC2877">
              <w:rPr>
                <w:rFonts w:ascii="Arial Narrow" w:hAnsi="Arial Narrow"/>
                <w:color w:val="000000"/>
              </w:rPr>
              <w:t xml:space="preserve"> nástroj</w:t>
            </w:r>
            <w:r>
              <w:rPr>
                <w:rFonts w:ascii="Arial Narrow" w:hAnsi="Arial Narrow"/>
                <w:color w:val="000000"/>
              </w:rPr>
              <w:t>a</w:t>
            </w:r>
            <w:r w:rsidRPr="00AC2877">
              <w:rPr>
                <w:rFonts w:ascii="Arial Narrow" w:hAnsi="Arial Narrow"/>
                <w:color w:val="000000"/>
              </w:rPr>
              <w:t xml:space="preserve"> podlieha ex-ante odsúhlaseniu RO).</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823583" w:rsidRPr="00AC2F04" w:rsidRDefault="00823583"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u w:val="single"/>
                <w:lang w:val="sk-SK"/>
              </w:rPr>
            </w:pPr>
            <w:r w:rsidRPr="00AC2F04">
              <w:rPr>
                <w:rFonts w:ascii="Arial Narrow" w:hAnsi="Arial Narrow"/>
                <w:b/>
                <w:iCs/>
                <w:color w:val="000000"/>
              </w:rPr>
              <w:t xml:space="preserve">Všeobecné princípy aplikácie vyššie uvedených nástrojov overovania hospodárnosti výdavkov sú uvedené </w:t>
            </w:r>
            <w:r w:rsidRPr="00AC2F04">
              <w:rPr>
                <w:rFonts w:ascii="Arial Narrow" w:hAnsi="Arial Narrow"/>
                <w:b/>
                <w:iCs/>
                <w:color w:val="000000"/>
                <w:u w:val="single"/>
              </w:rPr>
              <w:t xml:space="preserve">v kap. 6 PkOV, pričom OH je v konaní o ŽoNFP povinný rešpektovať tieto princípy. </w:t>
            </w:r>
          </w:p>
          <w:p w:rsidR="00823583" w:rsidRDefault="00823583"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b/>
                <w:iCs/>
                <w:color w:val="000000"/>
              </w:rPr>
              <w:t>Všetky výdavky projektu (ŽoNFP) musia byť z pohľadu hospodárnosti</w:t>
            </w:r>
            <w:r>
              <w:rPr>
                <w:rFonts w:ascii="Arial Narrow" w:hAnsi="Arial Narrow"/>
                <w:b/>
                <w:iCs/>
                <w:color w:val="000000"/>
              </w:rPr>
              <w:t>/efektívnosti</w:t>
            </w:r>
            <w:r w:rsidRPr="00AC2877">
              <w:rPr>
                <w:rFonts w:ascii="Arial Narrow" w:hAnsi="Arial Narrow"/>
                <w:b/>
                <w:iCs/>
                <w:color w:val="000000"/>
              </w:rPr>
              <w:t xml:space="preserve"> povinne overené pomocnými nástrojmi uvedenými v písm. a) a b) a takisto minimálne jedným pomocným nástrojom uvedeným </w:t>
            </w:r>
            <w:r>
              <w:rPr>
                <w:rFonts w:ascii="Arial Narrow" w:hAnsi="Arial Narrow"/>
                <w:b/>
                <w:iCs/>
                <w:color w:val="000000"/>
                <w:lang w:val="sk-SK"/>
              </w:rPr>
              <w:t xml:space="preserve">v písm. </w:t>
            </w:r>
            <w:r w:rsidRPr="00AC2877">
              <w:rPr>
                <w:rFonts w:ascii="Arial Narrow" w:hAnsi="Arial Narrow"/>
                <w:b/>
                <w:iCs/>
                <w:color w:val="000000"/>
              </w:rPr>
              <w:t xml:space="preserve">c) až </w:t>
            </w:r>
            <w:r>
              <w:rPr>
                <w:rFonts w:ascii="Arial Narrow" w:hAnsi="Arial Narrow"/>
                <w:b/>
                <w:iCs/>
                <w:color w:val="000000"/>
              </w:rPr>
              <w:t>i</w:t>
            </w:r>
            <w:r w:rsidRPr="00AC2877">
              <w:rPr>
                <w:rFonts w:ascii="Arial Narrow" w:hAnsi="Arial Narrow"/>
                <w:b/>
                <w:iCs/>
                <w:color w:val="000000"/>
              </w:rPr>
              <w:t>)</w:t>
            </w:r>
            <w:r>
              <w:rPr>
                <w:rFonts w:ascii="Arial Narrow" w:hAnsi="Arial Narrow"/>
                <w:b/>
                <w:iCs/>
                <w:color w:val="000000"/>
                <w:lang w:val="sk-SK"/>
              </w:rPr>
              <w:t xml:space="preserve"> </w:t>
            </w:r>
            <w:r w:rsidRPr="00F86A96">
              <w:rPr>
                <w:rFonts w:ascii="Arial Narrow" w:hAnsi="Arial Narrow"/>
                <w:b/>
                <w:iCs/>
                <w:color w:val="000000"/>
                <w:lang w:val="sk-SK"/>
              </w:rPr>
              <w:t>predchádzajúceho odseku</w:t>
            </w:r>
            <w:r>
              <w:rPr>
                <w:rFonts w:ascii="Arial Narrow" w:hAnsi="Arial Narrow"/>
                <w:b/>
                <w:iCs/>
                <w:color w:val="000000"/>
                <w:lang w:val="sk-SK"/>
              </w:rPr>
              <w:t>.</w:t>
            </w:r>
            <w:r w:rsidR="0041654D">
              <w:rPr>
                <w:rStyle w:val="Odkaznapoznmkupodiarou"/>
                <w:rFonts w:ascii="Arial Narrow" w:hAnsi="Arial Narrow"/>
                <w:b/>
                <w:iCs/>
                <w:color w:val="000000"/>
                <w:lang w:val="sk-SK"/>
              </w:rPr>
              <w:footnoteReference w:id="1"/>
            </w:r>
            <w:r>
              <w:rPr>
                <w:rFonts w:ascii="Arial Narrow" w:hAnsi="Arial Narrow"/>
                <w:b/>
                <w:iCs/>
                <w:color w:val="000000"/>
                <w:lang w:val="sk-SK"/>
              </w:rPr>
              <w:t xml:space="preserve"> </w:t>
            </w:r>
            <w:r>
              <w:rPr>
                <w:rFonts w:ascii="Arial Narrow" w:hAnsi="Arial Narrow"/>
                <w:iCs/>
                <w:color w:val="000000"/>
                <w:lang w:val="sk-SK"/>
              </w:rPr>
              <w:t xml:space="preserve">T.j. na všetky výdavky projektu (ŽoNFP) sa musia povinne aplikovať relevantné finančné a percentuálne limity stanovené RO OPII vo vyzvaní, resp. PkOV a min. jeden z preddefinovaných pomocných nástrojov, ktorý si hodnotiteľ vyberie podľa doplňujúcich pokynov uvedených nižšie v texte tohto hodnotiaceho kritéria.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záujme dosiahnutia optimálneho výsledku a správneho posúdenia zásady hospodárnosti a efektívnosti </w:t>
            </w:r>
            <w:r w:rsidRPr="00AC2877">
              <w:rPr>
                <w:rFonts w:ascii="Arial Narrow" w:hAnsi="Arial Narrow"/>
                <w:b/>
                <w:iCs/>
                <w:color w:val="000000"/>
              </w:rPr>
              <w:t xml:space="preserve">odborný hodnotiteľ </w:t>
            </w:r>
            <w:r w:rsidRPr="0050168A">
              <w:rPr>
                <w:rFonts w:ascii="Arial Narrow" w:hAnsi="Arial Narrow"/>
                <w:b/>
                <w:iCs/>
                <w:color w:val="000000"/>
                <w:lang w:val="sk-SK"/>
              </w:rPr>
              <w:t xml:space="preserve">môže </w:t>
            </w:r>
            <w:r w:rsidRPr="00AC2877">
              <w:rPr>
                <w:rFonts w:ascii="Arial Narrow" w:hAnsi="Arial Narrow"/>
                <w:b/>
                <w:iCs/>
                <w:color w:val="000000"/>
              </w:rPr>
              <w:t>použiť pri vyhodnocovaní tohto kritéria kombináciu viacerých preddefinovaných pomocných nástrojov</w:t>
            </w:r>
            <w:r>
              <w:rPr>
                <w:rFonts w:ascii="Arial Narrow" w:hAnsi="Arial Narrow"/>
                <w:iCs/>
                <w:color w:val="000000"/>
                <w:lang w:val="sk-SK"/>
              </w:rPr>
              <w:t>, ktorými sa overí 100% nárokovaných výdavkov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7706C5" w:rsidRPr="00A64D69" w:rsidRDefault="00B65B99" w:rsidP="007706C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7C2E3B">
              <w:rPr>
                <w:rFonts w:ascii="Arial Narrow" w:hAnsi="Arial Narrow"/>
                <w:iCs/>
                <w:color w:val="000000"/>
              </w:rPr>
              <w:t xml:space="preserve">V prípade, ak odborný hodnotiteľ použije ako pomocný nástroj overenia hospodárnosti a efektívnosti výdavkov výstup (napr. prieskum trhu, zmluvu, posudok, protokol atď.), ktorý nevypracoval on sám, ale bol vypracovaný treťou stranou (napr. žiadateľom, RO, znalcom, iným orgánom verejnej správy atď.), </w:t>
            </w:r>
            <w:r w:rsidRPr="007C2E3B">
              <w:rPr>
                <w:rFonts w:ascii="Arial Narrow" w:hAnsi="Arial Narrow"/>
                <w:b/>
                <w:iCs/>
                <w:color w:val="000000"/>
                <w:u w:val="single"/>
              </w:rPr>
              <w:t>tak</w:t>
            </w:r>
            <w:r w:rsidRPr="007C2E3B">
              <w:rPr>
                <w:rFonts w:ascii="Arial Narrow" w:hAnsi="Arial Narrow"/>
                <w:iCs/>
                <w:color w:val="000000"/>
                <w:u w:val="single"/>
              </w:rPr>
              <w:t xml:space="preserve"> </w:t>
            </w:r>
            <w:r w:rsidRPr="007C2E3B">
              <w:rPr>
                <w:rFonts w:ascii="Arial Narrow" w:hAnsi="Arial Narrow"/>
                <w:b/>
                <w:iCs/>
                <w:color w:val="000000"/>
                <w:u w:val="single"/>
              </w:rPr>
              <w:t>je povinný v tejto časti hodnotiaceho kritéria uviesť svoje vlastné detailné zdôvodnenie akceptácie, resp. neakceptácie výsledkov predloženého výstupu, ktoré podloží relevantnými odbornými argumentmi.</w:t>
            </w:r>
            <w:r>
              <w:rPr>
                <w:rFonts w:ascii="Arial Narrow" w:hAnsi="Arial Narrow"/>
                <w:b/>
                <w:iCs/>
                <w:color w:val="000000"/>
                <w:u w:val="single"/>
              </w:rPr>
              <w:t xml:space="preserve"> </w:t>
            </w:r>
            <w:r w:rsidRPr="007C2E3B">
              <w:rPr>
                <w:rFonts w:ascii="Arial Narrow" w:hAnsi="Arial Narrow"/>
                <w:iCs/>
                <w:color w:val="000000"/>
              </w:rPr>
              <w:t xml:space="preserve">Odborný hodnotiteľ musí vždy povinne uvádzať svoje vlastné individuálne zdôvodnenie stotožnenia, resp. čiastočného stotožnenia alebo úplného nestotožnenia sa s výsledkami predloženého výstupu vypracovaného treťou stranou (napr. stotožnenie sa s výsledkami verejného obstarávania, prieskumu trhu a pod.), pričom toto </w:t>
            </w:r>
            <w:r w:rsidRPr="007C2E3B">
              <w:rPr>
                <w:rFonts w:ascii="Arial Narrow" w:hAnsi="Arial Narrow"/>
                <w:b/>
                <w:iCs/>
                <w:color w:val="000000"/>
                <w:u w:val="single"/>
              </w:rPr>
              <w:t>svoje stanovisko odborne argumentačne podporí relevantnými odkazmi na platnú legislatívu, riadiacu metodickú dokumentáciu OPII, odborné publikácie, resp. iné vhodné zdroje.</w:t>
            </w:r>
            <w:r w:rsidR="007706C5">
              <w:rPr>
                <w:rFonts w:ascii="Arial Narrow" w:hAnsi="Arial Narrow"/>
                <w:iCs/>
                <w:color w:val="000000"/>
              </w:rPr>
              <w:t xml:space="preserve"> </w:t>
            </w:r>
            <w:r w:rsidR="007706C5" w:rsidRPr="00A64D69">
              <w:rPr>
                <w:rFonts w:ascii="Arial Narrow" w:hAnsi="Arial Narrow"/>
                <w:iCs/>
                <w:color w:val="000000"/>
              </w:rPr>
              <w:t>O</w:t>
            </w:r>
            <w:r w:rsidR="007706C5">
              <w:rPr>
                <w:rFonts w:ascii="Arial Narrow" w:hAnsi="Arial Narrow"/>
                <w:iCs/>
                <w:color w:val="000000"/>
              </w:rPr>
              <w:t>dborný hodnotiteľ</w:t>
            </w:r>
            <w:r w:rsidR="007706C5" w:rsidRPr="00A64D69">
              <w:rPr>
                <w:rFonts w:ascii="Arial Narrow" w:hAnsi="Arial Narrow"/>
                <w:iCs/>
                <w:color w:val="000000"/>
              </w:rPr>
              <w:t xml:space="preserve"> je vždy povinný, tam kde je to reálne možné, svoje odborné argumenty podporiť </w:t>
            </w:r>
            <w:r w:rsidR="007706C5" w:rsidRPr="00A64D69">
              <w:rPr>
                <w:rFonts w:ascii="Arial Narrow" w:hAnsi="Arial Narrow"/>
                <w:b/>
                <w:iCs/>
                <w:color w:val="000000"/>
                <w:u w:val="single"/>
              </w:rPr>
              <w:t>konkrétnymi matematickými prepočtami a inými relevantnými číselnými hodnotami, ktoré spätne auditovateľným spôsobom preukážu správnosť jeho odborného posúdenia</w:t>
            </w:r>
            <w:r w:rsidR="007706C5" w:rsidRPr="00A64D69">
              <w:rPr>
                <w:rFonts w:ascii="Arial Narrow" w:hAnsi="Arial Narrow"/>
                <w:iCs/>
                <w:color w:val="000000"/>
              </w:rPr>
              <w:t>, t.j. uvedie konkrétne číselné, matematické, percentuálne prepočty</w:t>
            </w:r>
            <w:r w:rsidR="007706C5">
              <w:rPr>
                <w:rFonts w:ascii="Arial Narrow" w:hAnsi="Arial Narrow"/>
                <w:iCs/>
                <w:color w:val="000000"/>
              </w:rPr>
              <w:t>, ktoré vykonal počas</w:t>
            </w:r>
            <w:r w:rsidR="007706C5" w:rsidRPr="00A64D69">
              <w:rPr>
                <w:rFonts w:ascii="Arial Narrow" w:hAnsi="Arial Narrow"/>
                <w:iCs/>
                <w:color w:val="000000"/>
              </w:rPr>
              <w:t xml:space="preserve"> svojho</w:t>
            </w:r>
            <w:r w:rsidR="007706C5">
              <w:rPr>
                <w:rFonts w:ascii="Arial Narrow" w:hAnsi="Arial Narrow"/>
                <w:iCs/>
                <w:color w:val="000000"/>
              </w:rPr>
              <w:t xml:space="preserve"> odborného</w:t>
            </w:r>
            <w:r w:rsidR="007706C5" w:rsidRPr="00A64D69">
              <w:rPr>
                <w:rFonts w:ascii="Arial Narrow" w:hAnsi="Arial Narrow"/>
                <w:iCs/>
                <w:color w:val="000000"/>
              </w:rPr>
              <w:t xml:space="preserve"> hodnotenia (napr. porovnania hodnôt posudzovaných finančných/percentuálnych limitov, PHZ a pod.).</w:t>
            </w:r>
          </w:p>
          <w:p w:rsidR="007706C5" w:rsidRDefault="007706C5"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311D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iCs/>
                <w:color w:val="000000"/>
                <w:lang w:val="sk-SK"/>
              </w:rPr>
              <w:t xml:space="preserve">Odborný hodnotiteľ postupuje pri výbere a aplikácii pomocných nástrojov tak, aby dosiahol </w:t>
            </w:r>
            <w:r w:rsidRPr="00AC2877">
              <w:rPr>
                <w:rFonts w:ascii="Arial Narrow" w:hAnsi="Arial Narrow"/>
                <w:b/>
                <w:iCs/>
                <w:color w:val="000000"/>
              </w:rPr>
              <w:t xml:space="preserve">primerané uistenie o tom, že nárokované výdavky </w:t>
            </w:r>
            <w:r w:rsidRPr="00AC2877">
              <w:rPr>
                <w:rFonts w:ascii="Arial Narrow" w:hAnsi="Arial Narrow"/>
                <w:b/>
                <w:color w:val="000000"/>
              </w:rPr>
              <w:t>zodpovedajú obvyklým cenám v danom mieste a čase.</w:t>
            </w:r>
            <w:r>
              <w:rPr>
                <w:rFonts w:ascii="Arial Narrow" w:hAnsi="Arial Narrow"/>
                <w:color w:val="000000"/>
                <w:lang w:val="sk-SK"/>
              </w:rPr>
              <w:t xml:space="preserve"> </w:t>
            </w:r>
            <w:r w:rsidRPr="00BD2041">
              <w:rPr>
                <w:rFonts w:ascii="Arial Narrow" w:hAnsi="Arial Narrow"/>
                <w:iCs/>
                <w:color w:val="000000"/>
                <w:lang w:val="sk-SK"/>
              </w:rPr>
              <w:t xml:space="preserve">Odborný hodnotiteľ </w:t>
            </w:r>
            <w:r>
              <w:rPr>
                <w:rFonts w:ascii="Arial Narrow" w:hAnsi="Arial Narrow"/>
                <w:iCs/>
                <w:color w:val="000000"/>
                <w:lang w:val="sk-SK"/>
              </w:rPr>
              <w:t>v závislosti od druhu výdavku</w:t>
            </w:r>
            <w:r w:rsidRPr="00BD2041">
              <w:rPr>
                <w:rFonts w:ascii="Arial Narrow" w:hAnsi="Arial Narrow"/>
                <w:iCs/>
                <w:color w:val="000000"/>
                <w:lang w:val="sk-SK"/>
              </w:rPr>
              <w:t xml:space="preserve"> </w:t>
            </w:r>
            <w:r>
              <w:rPr>
                <w:rFonts w:ascii="Arial Narrow" w:hAnsi="Arial Narrow"/>
                <w:iCs/>
                <w:color w:val="000000"/>
                <w:lang w:val="sk-SK"/>
              </w:rPr>
              <w:t xml:space="preserve">a ostatných doplňujúcich pokynov </w:t>
            </w:r>
            <w:r w:rsidRPr="00BD2041">
              <w:rPr>
                <w:rFonts w:ascii="Arial Narrow" w:hAnsi="Arial Narrow"/>
                <w:iCs/>
                <w:color w:val="000000"/>
                <w:lang w:val="sk-SK"/>
              </w:rPr>
              <w:t>identifikuje</w:t>
            </w:r>
            <w:r>
              <w:rPr>
                <w:rFonts w:ascii="Arial Narrow" w:hAnsi="Arial Narrow"/>
                <w:iCs/>
                <w:color w:val="000000"/>
                <w:lang w:val="sk-SK"/>
              </w:rPr>
              <w:t xml:space="preserve"> a nezávisle rozhodne</w:t>
            </w:r>
            <w:r w:rsidRPr="00BD2041">
              <w:rPr>
                <w:rFonts w:ascii="Arial Narrow" w:hAnsi="Arial Narrow"/>
                <w:iCs/>
                <w:color w:val="000000"/>
                <w:lang w:val="sk-SK"/>
              </w:rPr>
              <w:t xml:space="preserve">, </w:t>
            </w:r>
            <w:r>
              <w:rPr>
                <w:rFonts w:ascii="Arial Narrow" w:hAnsi="Arial Narrow"/>
                <w:iCs/>
                <w:color w:val="000000"/>
                <w:lang w:val="sk-SK"/>
              </w:rPr>
              <w:t xml:space="preserve">ktorý/-é z nasledovných </w:t>
            </w:r>
            <w:r w:rsidRPr="00AC2877">
              <w:rPr>
                <w:rFonts w:ascii="Arial Narrow" w:hAnsi="Arial Narrow"/>
                <w:b/>
                <w:iCs/>
                <w:color w:val="000000"/>
              </w:rPr>
              <w:t>pomocných nástrojov použije v procese vyhodnocova</w:t>
            </w:r>
            <w:r w:rsidRPr="001F55DB">
              <w:rPr>
                <w:rFonts w:ascii="Arial Narrow" w:hAnsi="Arial Narrow"/>
                <w:b/>
                <w:iCs/>
                <w:color w:val="000000"/>
                <w:lang w:val="sk-SK"/>
              </w:rPr>
              <w:t>nia tohto hodnotiaceho kritéria</w:t>
            </w:r>
            <w:r>
              <w:rPr>
                <w:rFonts w:ascii="Arial Narrow" w:hAnsi="Arial Narrow"/>
                <w:b/>
                <w:iCs/>
                <w:color w:val="000000"/>
                <w:lang w:val="sk-SK"/>
              </w:rPr>
              <w:t>:</w:t>
            </w:r>
            <w:r w:rsidRPr="00AC2877">
              <w:rPr>
                <w:rFonts w:ascii="Arial Narrow" w:hAnsi="Arial Narrow"/>
                <w:b/>
                <w:iCs/>
                <w:color w:val="000000"/>
              </w:rPr>
              <w:t xml:space="preserve"> </w:t>
            </w:r>
          </w:p>
          <w:p w:rsidR="00E52E0E" w:rsidRPr="00BD2041"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a) </w:t>
            </w:r>
            <w:r w:rsidRPr="00BD2041">
              <w:rPr>
                <w:rFonts w:ascii="Arial Narrow" w:hAnsi="Arial Narrow"/>
                <w:b/>
                <w:iCs/>
                <w:color w:val="000000"/>
                <w:lang w:val="sk-SK"/>
              </w:rPr>
              <w:t>Finančn</w:t>
            </w:r>
            <w:r>
              <w:rPr>
                <w:rFonts w:ascii="Arial Narrow" w:hAnsi="Arial Narrow"/>
                <w:b/>
                <w:iCs/>
                <w:color w:val="000000"/>
                <w:lang w:val="sk-SK"/>
              </w:rPr>
              <w:t>é</w:t>
            </w:r>
            <w:r w:rsidRPr="00BD2041">
              <w:rPr>
                <w:rFonts w:ascii="Arial Narrow" w:hAnsi="Arial Narrow"/>
                <w:b/>
                <w:iCs/>
                <w:color w:val="000000"/>
                <w:lang w:val="sk-SK"/>
              </w:rPr>
              <w:t xml:space="preserve"> limit</w:t>
            </w:r>
            <w:r>
              <w:rPr>
                <w:rFonts w:ascii="Arial Narrow" w:hAnsi="Arial Narrow"/>
                <w:b/>
                <w:iCs/>
                <w:color w:val="000000"/>
                <w:lang w:val="sk-SK"/>
              </w:rPr>
              <w:t>y</w:t>
            </w:r>
            <w:r w:rsidRPr="00BD2041">
              <w:rPr>
                <w:rFonts w:ascii="Arial Narrow" w:hAnsi="Arial Narrow"/>
                <w:iCs/>
                <w:color w:val="000000"/>
                <w:lang w:val="sk-SK"/>
              </w:rPr>
              <w:t xml:space="preserve"> </w:t>
            </w:r>
            <w:r w:rsidRPr="00AC2877">
              <w:rPr>
                <w:rFonts w:ascii="Arial Narrow" w:hAnsi="Arial Narrow"/>
                <w:b/>
                <w:iCs/>
                <w:color w:val="000000"/>
              </w:rPr>
              <w:t>na úrovni jednotkových výdavkov stanovené RO OPII v príslušnom vyzvaní</w:t>
            </w:r>
            <w:r>
              <w:rPr>
                <w:rFonts w:ascii="Arial Narrow" w:hAnsi="Arial Narrow"/>
                <w:b/>
                <w:iCs/>
                <w:color w:val="000000"/>
                <w:lang w:val="sk-SK"/>
              </w:rPr>
              <w:t xml:space="preserve"> (povinný pomocný nástroj) - </w:t>
            </w:r>
            <w:r w:rsidRPr="00BD2041">
              <w:rPr>
                <w:rFonts w:ascii="Arial Narrow" w:hAnsi="Arial Narrow"/>
                <w:iCs/>
                <w:color w:val="000000"/>
                <w:lang w:val="sk-SK"/>
              </w:rPr>
              <w:t xml:space="preserve">je definovaný ako maximálny </w:t>
            </w:r>
            <w:r>
              <w:rPr>
                <w:rFonts w:ascii="Arial Narrow" w:hAnsi="Arial Narrow"/>
                <w:iCs/>
                <w:color w:val="000000"/>
                <w:lang w:val="sk-SK"/>
              </w:rPr>
              <w:t xml:space="preserve">finančný </w:t>
            </w:r>
            <w:r w:rsidRPr="00BD2041">
              <w:rPr>
                <w:rFonts w:ascii="Arial Narrow" w:hAnsi="Arial Narrow"/>
                <w:iCs/>
                <w:color w:val="000000"/>
                <w:lang w:val="sk-SK"/>
              </w:rPr>
              <w:t>limit na úrovni</w:t>
            </w:r>
            <w:r>
              <w:rPr>
                <w:rFonts w:ascii="Arial Narrow" w:hAnsi="Arial Narrow"/>
                <w:iCs/>
                <w:color w:val="000000"/>
                <w:lang w:val="sk-SK"/>
              </w:rPr>
              <w:t>:</w:t>
            </w:r>
          </w:p>
          <w:p w:rsidR="00E52E0E" w:rsidRPr="00BD2041"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w:t>
            </w:r>
            <w:r w:rsidRPr="00BD2041">
              <w:rPr>
                <w:rFonts w:ascii="Arial Narrow" w:hAnsi="Arial Narrow"/>
                <w:iCs/>
                <w:color w:val="000000"/>
                <w:lang w:val="sk-SK"/>
              </w:rPr>
              <w:tab/>
              <w:t>jednotkových výdavkov v rámci priamych aj nepriamych výdavkov (napr. hodinová cena práce v prípade personálnych výdavkov, zákonná výška výdavkov na cestovné náhrady,  výdavky na publicitu</w:t>
            </w:r>
            <w:r>
              <w:rPr>
                <w:rFonts w:ascii="Arial Narrow" w:hAnsi="Arial Narrow"/>
                <w:iCs/>
                <w:color w:val="000000"/>
                <w:lang w:val="sk-SK"/>
              </w:rPr>
              <w:t>, informačnú tabuľu a pod.</w:t>
            </w:r>
            <w:r w:rsidRPr="00BD2041">
              <w:rPr>
                <w:rFonts w:ascii="Arial Narrow" w:hAnsi="Arial Narrow"/>
                <w:iCs/>
                <w:color w:val="000000"/>
                <w:lang w:val="sk-SK"/>
              </w:rPr>
              <w:t>)</w:t>
            </w:r>
            <w:r>
              <w:rPr>
                <w:rFonts w:ascii="Arial Narrow" w:hAnsi="Arial Narrow"/>
                <w:iCs/>
                <w:color w:val="000000"/>
                <w:lang w:val="sk-SK"/>
              </w:rPr>
              <w:t>.</w:t>
            </w: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FC5DE1">
              <w:rPr>
                <w:rFonts w:ascii="Arial Narrow" w:hAnsi="Arial Narrow"/>
                <w:iCs/>
                <w:color w:val="000000"/>
                <w:lang w:val="sk-SK"/>
              </w:rPr>
              <w:t xml:space="preserve">Finančné limity </w:t>
            </w:r>
            <w:r>
              <w:rPr>
                <w:rFonts w:ascii="Arial Narrow" w:hAnsi="Arial Narrow"/>
                <w:iCs/>
                <w:color w:val="000000"/>
                <w:lang w:val="sk-SK"/>
              </w:rPr>
              <w:t>musia byť zo</w:t>
            </w:r>
            <w:r w:rsidRPr="00FC5DE1">
              <w:rPr>
                <w:rFonts w:ascii="Arial Narrow" w:hAnsi="Arial Narrow"/>
                <w:iCs/>
                <w:color w:val="000000"/>
                <w:lang w:val="sk-SK"/>
              </w:rPr>
              <w:t xml:space="preserve"> strany RO stanovené vopred na úrovni </w:t>
            </w:r>
            <w:r>
              <w:rPr>
                <w:rFonts w:ascii="Arial Narrow" w:hAnsi="Arial Narrow"/>
                <w:iCs/>
                <w:color w:val="000000"/>
                <w:lang w:val="sk-SK"/>
              </w:rPr>
              <w:t xml:space="preserve">vyzvania. V podmienkach RO OPII sú finančné limity jednotkových výdavkov stanovené v pr. č. 1 PkOV. Odborný hodnotiteľ povinne aplikuje všetky relevantné finančné limity uvedené v pr. č. 1 PkOV na výdavky rozpočtu projektu (ŽoNFP).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V prípade prekročenia stanovených finančných limitov</w:t>
            </w:r>
            <w:r w:rsidRPr="001F55DB">
              <w:rPr>
                <w:rFonts w:ascii="Arial Narrow" w:hAnsi="Arial Narrow"/>
                <w:iCs/>
                <w:color w:val="000000"/>
                <w:lang w:val="sk-SK"/>
              </w:rPr>
              <w:t xml:space="preserve"> posúdi, či toto prekročenie zodpovedá navrhnuté</w:t>
            </w:r>
            <w:r w:rsidRPr="00C164E4">
              <w:rPr>
                <w:rFonts w:ascii="Arial Narrow" w:hAnsi="Arial Narrow"/>
                <w:iCs/>
                <w:color w:val="000000"/>
                <w:lang w:val="sk-SK"/>
              </w:rPr>
              <w:t xml:space="preserve">mu </w:t>
            </w:r>
            <w:r w:rsidRPr="00BD2041">
              <w:rPr>
                <w:rFonts w:ascii="Arial Narrow" w:hAnsi="Arial Narrow"/>
                <w:iCs/>
                <w:color w:val="000000"/>
                <w:lang w:val="sk-SK"/>
              </w:rPr>
              <w:t xml:space="preserve">riešeniu a sťaženým podmienkam realizácie projektu. To znamená, že výdavky nad hodnotu finančného limitu budú akceptovateľné ako oprávnené iba v odôvodnených objektívnych prípadoch vyplývajúcich zo stavebno-technických, technologických, prírodných, časových alebo iných špecifík. Prekročenie finančného limitu bez relevantného a overiteľného odôvodnenia bude vyhodnotené ako neoprávnené a bude adekvátne znížená výška </w:t>
            </w:r>
            <w:r>
              <w:rPr>
                <w:rFonts w:ascii="Arial Narrow" w:hAnsi="Arial Narrow"/>
                <w:iCs/>
                <w:color w:val="000000"/>
                <w:lang w:val="sk-SK"/>
              </w:rPr>
              <w:t xml:space="preserve">oprávneného </w:t>
            </w:r>
            <w:r w:rsidRPr="00BD2041">
              <w:rPr>
                <w:rFonts w:ascii="Arial Narrow" w:hAnsi="Arial Narrow"/>
                <w:iCs/>
                <w:color w:val="000000"/>
                <w:lang w:val="sk-SK"/>
              </w:rPr>
              <w:t>výdavku do úrovne limitu.</w:t>
            </w: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b) P</w:t>
            </w:r>
            <w:r w:rsidRPr="00AC2877">
              <w:rPr>
                <w:rFonts w:ascii="Arial Narrow" w:hAnsi="Arial Narrow"/>
                <w:b/>
                <w:iCs/>
                <w:color w:val="000000"/>
              </w:rPr>
              <w:t>ercentuálne limity na úrovni skupín výdavkov stanovené RO OPII v príslušnom vyzvaní</w:t>
            </w:r>
            <w:r>
              <w:rPr>
                <w:rFonts w:ascii="Arial Narrow" w:hAnsi="Arial Narrow"/>
                <w:b/>
                <w:iCs/>
                <w:color w:val="000000"/>
                <w:lang w:val="sk-SK"/>
              </w:rPr>
              <w:t xml:space="preserve"> (povinný pomocný nástroj) - </w:t>
            </w:r>
            <w:r w:rsidRPr="00BD2041">
              <w:rPr>
                <w:rFonts w:ascii="Arial Narrow" w:hAnsi="Arial Narrow"/>
                <w:iCs/>
                <w:color w:val="000000"/>
                <w:lang w:val="sk-SK"/>
              </w:rPr>
              <w:t xml:space="preserve">je definovaný ako maximálny </w:t>
            </w:r>
            <w:r>
              <w:rPr>
                <w:rFonts w:ascii="Arial Narrow" w:hAnsi="Arial Narrow"/>
                <w:iCs/>
                <w:color w:val="000000"/>
                <w:lang w:val="sk-SK"/>
              </w:rPr>
              <w:t xml:space="preserve">percentuálny </w:t>
            </w:r>
            <w:r w:rsidRPr="00BD2041">
              <w:rPr>
                <w:rFonts w:ascii="Arial Narrow" w:hAnsi="Arial Narrow"/>
                <w:iCs/>
                <w:color w:val="000000"/>
                <w:lang w:val="sk-SK"/>
              </w:rPr>
              <w:t>limit  na úrovni</w:t>
            </w:r>
            <w:r>
              <w:rPr>
                <w:rFonts w:ascii="Arial Narrow" w:hAnsi="Arial Narrow"/>
                <w:iCs/>
                <w:color w:val="000000"/>
                <w:lang w:val="sk-SK"/>
              </w:rPr>
              <w:t>:</w:t>
            </w:r>
          </w:p>
          <w:p w:rsidR="00E52E0E" w:rsidRPr="00BD2041"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w:t>
            </w:r>
            <w:r w:rsidRPr="00BD2041">
              <w:rPr>
                <w:rFonts w:ascii="Arial Narrow" w:hAnsi="Arial Narrow"/>
                <w:iCs/>
                <w:color w:val="000000"/>
                <w:lang w:val="sk-SK"/>
              </w:rPr>
              <w:tab/>
              <w:t xml:space="preserve">úrovni  skupín výdavkov (napr. percentuálny limit na </w:t>
            </w:r>
            <w:r>
              <w:rPr>
                <w:rFonts w:ascii="Arial Narrow" w:hAnsi="Arial Narrow"/>
                <w:iCs/>
                <w:color w:val="000000"/>
                <w:lang w:val="sk-SK"/>
              </w:rPr>
              <w:t>výdavky na stavebný dozor</w:t>
            </w:r>
            <w:r w:rsidRPr="00BD2041">
              <w:rPr>
                <w:rFonts w:ascii="Arial Narrow" w:hAnsi="Arial Narrow"/>
                <w:iCs/>
                <w:color w:val="000000"/>
                <w:lang w:val="sk-SK"/>
              </w:rPr>
              <w:t>, percentuálny limit na nepriame výdavky z priamych výdavkov</w:t>
            </w:r>
            <w:r>
              <w:rPr>
                <w:rFonts w:ascii="Arial Narrow" w:hAnsi="Arial Narrow"/>
                <w:iCs/>
                <w:color w:val="000000"/>
                <w:lang w:val="sk-SK"/>
              </w:rPr>
              <w:t xml:space="preserve"> a pod.</w:t>
            </w:r>
            <w:r w:rsidRPr="00BD2041">
              <w:rPr>
                <w:rFonts w:ascii="Arial Narrow" w:hAnsi="Arial Narrow"/>
                <w:iCs/>
                <w:color w:val="000000"/>
                <w:lang w:val="sk-SK"/>
              </w:rPr>
              <w:t>)</w:t>
            </w:r>
            <w:r>
              <w:rPr>
                <w:rFonts w:ascii="Arial Narrow" w:hAnsi="Arial Narrow"/>
                <w:iCs/>
                <w:color w:val="000000"/>
                <w:lang w:val="sk-SK"/>
              </w:rPr>
              <w:t>.</w:t>
            </w: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Percentuálne</w:t>
            </w:r>
            <w:r w:rsidRPr="00FC5DE1">
              <w:rPr>
                <w:rFonts w:ascii="Arial Narrow" w:hAnsi="Arial Narrow"/>
                <w:iCs/>
                <w:color w:val="000000"/>
                <w:lang w:val="sk-SK"/>
              </w:rPr>
              <w:t xml:space="preserve"> limity </w:t>
            </w:r>
            <w:r>
              <w:rPr>
                <w:rFonts w:ascii="Arial Narrow" w:hAnsi="Arial Narrow"/>
                <w:iCs/>
                <w:color w:val="000000"/>
                <w:lang w:val="sk-SK"/>
              </w:rPr>
              <w:t>musia byť zo</w:t>
            </w:r>
            <w:r w:rsidRPr="00FC5DE1">
              <w:rPr>
                <w:rFonts w:ascii="Arial Narrow" w:hAnsi="Arial Narrow"/>
                <w:iCs/>
                <w:color w:val="000000"/>
                <w:lang w:val="sk-SK"/>
              </w:rPr>
              <w:t xml:space="preserve"> strany RO stanovené vopred na úrovni </w:t>
            </w:r>
            <w:r>
              <w:rPr>
                <w:rFonts w:ascii="Arial Narrow" w:hAnsi="Arial Narrow"/>
                <w:iCs/>
                <w:color w:val="000000"/>
                <w:lang w:val="sk-SK"/>
              </w:rPr>
              <w:t xml:space="preserve">vyzvania. V podmienkach RO OPII sú percentuálne limity vybraných skupín výdavkov stanovené v pr. č. 1 PkOV. Odborný hodnotiteľ povinne aplikuje všetky relevantné percentuálne limity uvedené v pr. č. 1 PkOV na výdavky rozpočtu projektu (ŽoNFP).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 xml:space="preserve">V prípade prekročenia stanovených </w:t>
            </w:r>
            <w:r>
              <w:rPr>
                <w:rFonts w:ascii="Arial Narrow" w:hAnsi="Arial Narrow"/>
                <w:iCs/>
                <w:color w:val="000000"/>
                <w:lang w:val="sk-SK"/>
              </w:rPr>
              <w:t>percentuálnych</w:t>
            </w:r>
            <w:r w:rsidRPr="00AC2877">
              <w:rPr>
                <w:rFonts w:ascii="Arial Narrow" w:hAnsi="Arial Narrow"/>
                <w:iCs/>
                <w:color w:val="000000"/>
              </w:rPr>
              <w:t xml:space="preserve"> limitov</w:t>
            </w:r>
            <w:r w:rsidRPr="001F55DB">
              <w:rPr>
                <w:rFonts w:ascii="Arial Narrow" w:hAnsi="Arial Narrow"/>
                <w:iCs/>
                <w:color w:val="000000"/>
                <w:lang w:val="sk-SK"/>
              </w:rPr>
              <w:t xml:space="preserve"> posúdi, či toto prekročenie zodpovedá navrhnuté</w:t>
            </w:r>
            <w:r w:rsidRPr="00C164E4">
              <w:rPr>
                <w:rFonts w:ascii="Arial Narrow" w:hAnsi="Arial Narrow"/>
                <w:iCs/>
                <w:color w:val="000000"/>
                <w:lang w:val="sk-SK"/>
              </w:rPr>
              <w:t>mu riešeniu</w:t>
            </w:r>
            <w:r w:rsidRPr="00BD2041">
              <w:rPr>
                <w:rFonts w:ascii="Arial Narrow" w:hAnsi="Arial Narrow"/>
                <w:iCs/>
                <w:color w:val="000000"/>
                <w:lang w:val="sk-SK"/>
              </w:rPr>
              <w:t xml:space="preserve"> a sťaženým podmienkam realizácie projektu. To znamená, že výdavky nad hodnotu finančného limitu budú akceptovateľné ako oprávnené iba v odôvodnených objektívnych prípadoch vyplývajúcich zo stavebno-technických, technologických, prírodných, časových alebo iných špecifík. Prekročenie </w:t>
            </w:r>
            <w:r>
              <w:rPr>
                <w:rFonts w:ascii="Arial Narrow" w:hAnsi="Arial Narrow"/>
                <w:iCs/>
                <w:color w:val="000000"/>
                <w:lang w:val="sk-SK"/>
              </w:rPr>
              <w:t>percentuálneho</w:t>
            </w:r>
            <w:r w:rsidRPr="00BD2041">
              <w:rPr>
                <w:rFonts w:ascii="Arial Narrow" w:hAnsi="Arial Narrow"/>
                <w:iCs/>
                <w:color w:val="000000"/>
                <w:lang w:val="sk-SK"/>
              </w:rPr>
              <w:t xml:space="preserve"> limitu bez relevantného a overiteľného odôvodnenia bude vyhodnotené ako neoprávnené a bude adekvátne znížená výška </w:t>
            </w:r>
            <w:r>
              <w:rPr>
                <w:rFonts w:ascii="Arial Narrow" w:hAnsi="Arial Narrow"/>
                <w:iCs/>
                <w:color w:val="000000"/>
                <w:lang w:val="sk-SK"/>
              </w:rPr>
              <w:t xml:space="preserve">oprávneného </w:t>
            </w:r>
            <w:r w:rsidRPr="00BD2041">
              <w:rPr>
                <w:rFonts w:ascii="Arial Narrow" w:hAnsi="Arial Narrow"/>
                <w:iCs/>
                <w:color w:val="000000"/>
                <w:lang w:val="sk-SK"/>
              </w:rPr>
              <w:t>výdavku do úrovne limitu.</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823583" w:rsidRPr="00AC2F04" w:rsidRDefault="00E52E0E"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bCs/>
                <w:iCs/>
                <w:color w:val="000000"/>
                <w:lang w:val="sk-SK"/>
              </w:rPr>
            </w:pPr>
            <w:r w:rsidRPr="001F55DB">
              <w:rPr>
                <w:rFonts w:ascii="Arial Narrow" w:hAnsi="Arial Narrow"/>
                <w:b/>
                <w:iCs/>
                <w:color w:val="000000"/>
              </w:rPr>
              <w:t>c)</w:t>
            </w:r>
            <w:r>
              <w:rPr>
                <w:rFonts w:ascii="Arial Narrow" w:hAnsi="Arial Narrow"/>
                <w:b/>
                <w:iCs/>
                <w:color w:val="000000"/>
              </w:rPr>
              <w:t xml:space="preserve"> </w:t>
            </w:r>
            <w:r w:rsidR="00823583">
              <w:rPr>
                <w:rFonts w:ascii="Arial Narrow" w:hAnsi="Arial Narrow"/>
                <w:b/>
                <w:bCs/>
                <w:iCs/>
                <w:color w:val="000000"/>
                <w:lang w:val="sk-SK"/>
              </w:rPr>
              <w:t>U</w:t>
            </w:r>
            <w:r w:rsidR="00823583" w:rsidRPr="007E319B">
              <w:rPr>
                <w:rFonts w:ascii="Arial Narrow" w:hAnsi="Arial Narrow"/>
                <w:b/>
                <w:bCs/>
                <w:iCs/>
                <w:color w:val="000000"/>
                <w:lang w:val="sk-SK"/>
              </w:rPr>
              <w:t>končené verejné obstarávanie alebo ukončené obstarávanie</w:t>
            </w:r>
            <w:r w:rsidR="00823583" w:rsidRPr="001C0B5A" w:rsidDel="007E319B">
              <w:rPr>
                <w:rFonts w:ascii="Arial Narrow" w:hAnsi="Arial Narrow"/>
                <w:b/>
                <w:bCs/>
                <w:iCs/>
                <w:color w:val="000000"/>
              </w:rPr>
              <w:t xml:space="preserve"> </w:t>
            </w:r>
            <w:r w:rsidR="00823583" w:rsidRPr="00AC2F04">
              <w:rPr>
                <w:rFonts w:ascii="Arial Narrow" w:hAnsi="Arial Narrow"/>
                <w:b/>
                <w:bCs/>
                <w:iCs/>
                <w:color w:val="000000"/>
              </w:rPr>
              <w:t>(povinný nástroj, ak existuje platná a účinná zmluva s dodávateľom / zhotoviteľom a ukončené VO alebo obstarávanie spĺňa podmienky uvedené v kap. č. 6 PkOV)</w:t>
            </w:r>
          </w:p>
          <w:p w:rsidR="00823583" w:rsidRDefault="00823583" w:rsidP="00823583">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823583" w:rsidRDefault="00823583"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Odborný hodnotiteľ </w:t>
            </w:r>
            <w:r w:rsidRPr="00D91E62">
              <w:rPr>
                <w:rFonts w:ascii="Arial Narrow" w:hAnsi="Arial Narrow"/>
                <w:b/>
                <w:iCs/>
                <w:color w:val="000000"/>
              </w:rPr>
              <w:t xml:space="preserve">povinne aplikuje tento nástroj </w:t>
            </w:r>
            <w:r w:rsidRPr="00C164E4">
              <w:rPr>
                <w:rFonts w:ascii="Arial Narrow" w:hAnsi="Arial Narrow"/>
                <w:iCs/>
                <w:color w:val="000000"/>
                <w:lang w:val="sk-SK"/>
              </w:rPr>
              <w:t xml:space="preserve">na všetky </w:t>
            </w:r>
            <w:r w:rsidRPr="00133F91">
              <w:rPr>
                <w:rFonts w:ascii="Arial Narrow" w:hAnsi="Arial Narrow"/>
                <w:iCs/>
                <w:color w:val="000000"/>
              </w:rPr>
              <w:t>výdavky rozpočtu projektu (ŽoNFP), ktoré sú naviazané na</w:t>
            </w:r>
            <w:r w:rsidRPr="00D91E62">
              <w:rPr>
                <w:rFonts w:ascii="Arial Narrow" w:hAnsi="Arial Narrow"/>
                <w:b/>
                <w:iCs/>
                <w:color w:val="000000"/>
              </w:rPr>
              <w:t xml:space="preserve"> </w:t>
            </w:r>
            <w:r w:rsidRPr="00AC2F04">
              <w:rPr>
                <w:rFonts w:ascii="Arial Narrow" w:hAnsi="Arial Narrow"/>
                <w:iCs/>
                <w:color w:val="000000"/>
              </w:rPr>
              <w:t>platnú a účinnú zmluvu s dodávateľom / zhotoviteľom</w:t>
            </w:r>
            <w:r>
              <w:rPr>
                <w:rFonts w:ascii="Arial Narrow" w:hAnsi="Arial Narrow"/>
                <w:b/>
                <w:iCs/>
                <w:color w:val="000000"/>
              </w:rPr>
              <w:t xml:space="preserve"> </w:t>
            </w:r>
            <w:r w:rsidRPr="00AC2F04">
              <w:rPr>
                <w:rFonts w:ascii="Arial Narrow" w:hAnsi="Arial Narrow"/>
                <w:iCs/>
                <w:color w:val="000000"/>
              </w:rPr>
              <w:t xml:space="preserve">za </w:t>
            </w:r>
            <w:r w:rsidRPr="00AC2F04">
              <w:rPr>
                <w:rFonts w:ascii="Arial Narrow" w:hAnsi="Arial Narrow"/>
                <w:iCs/>
                <w:color w:val="000000"/>
                <w:u w:val="single"/>
              </w:rPr>
              <w:t>predpokladu, že ukončené VO alebo obstarávanie spĺňa podmienky uvedené v kap. č. 6 PkOV.</w:t>
            </w:r>
            <w:r>
              <w:rPr>
                <w:rFonts w:ascii="Arial Narrow" w:hAnsi="Arial Narrow"/>
                <w:iCs/>
                <w:color w:val="000000"/>
                <w:lang w:val="sk-SK"/>
              </w:rPr>
              <w:t xml:space="preserve"> Ak predložená ŽoNFP neobsahuje potrebné podklady pre riadne overenie splnenia podmienok v zmysle predchádzajúcej vety, tak si OH tieto podklady vyžiada od príslušného PM, ktorý predmetné podklady zosumarizuje v súčinnosti s ostatnými vecne príslušnými útvarmi RO OPII. </w:t>
            </w:r>
            <w:r w:rsidRPr="008469B0">
              <w:rPr>
                <w:rFonts w:ascii="Arial Narrow" w:hAnsi="Arial Narrow"/>
                <w:iCs/>
                <w:color w:val="000000"/>
              </w:rPr>
              <w:t>Ak ukončené VO/obstarávanie spĺňa podmienky uvedené v </w:t>
            </w:r>
            <w:r>
              <w:rPr>
                <w:rFonts w:ascii="Arial Narrow" w:hAnsi="Arial Narrow"/>
                <w:iCs/>
                <w:color w:val="000000"/>
              </w:rPr>
              <w:t>kap. č. 6 PkOV</w:t>
            </w:r>
            <w:r w:rsidRPr="008469B0">
              <w:rPr>
                <w:rFonts w:ascii="Arial Narrow" w:hAnsi="Arial Narrow"/>
                <w:iCs/>
                <w:color w:val="000000"/>
              </w:rPr>
              <w:t xml:space="preserve">, je považované za relevantný postup overenia hospodárnosti výdavkov. Ak VO alebo obstarávanie nespĺňa podmienky podľa </w:t>
            </w:r>
            <w:r>
              <w:rPr>
                <w:rFonts w:ascii="Arial Narrow" w:hAnsi="Arial Narrow"/>
                <w:iCs/>
                <w:color w:val="000000"/>
              </w:rPr>
              <w:t>kap. č. 6 PkOV</w:t>
            </w:r>
            <w:r w:rsidRPr="008469B0">
              <w:rPr>
                <w:rFonts w:ascii="Arial Narrow" w:hAnsi="Arial Narrow"/>
                <w:iCs/>
                <w:color w:val="000000"/>
              </w:rPr>
              <w:t xml:space="preserve">, </w:t>
            </w:r>
            <w:r>
              <w:rPr>
                <w:rFonts w:ascii="Arial Narrow" w:hAnsi="Arial Narrow"/>
                <w:iCs/>
                <w:color w:val="000000"/>
              </w:rPr>
              <w:t>OH</w:t>
            </w:r>
            <w:r w:rsidRPr="008469B0">
              <w:rPr>
                <w:rFonts w:ascii="Arial Narrow" w:hAnsi="Arial Narrow"/>
                <w:iCs/>
                <w:color w:val="000000"/>
              </w:rPr>
              <w:t xml:space="preserve"> použije iný relevantný po</w:t>
            </w:r>
            <w:r>
              <w:rPr>
                <w:rFonts w:ascii="Arial Narrow" w:hAnsi="Arial Narrow"/>
                <w:iCs/>
                <w:color w:val="000000"/>
              </w:rPr>
              <w:t xml:space="preserve">stup na overenie hospodárnosti a zároveň zohľadní zistené skutočnosti v prebiehajúcom procese konania o ŽoNFP (napr. ak v súvislosti s kontrolovaným obstarávaním / VO </w:t>
            </w:r>
            <w:r w:rsidRPr="00983FA1">
              <w:rPr>
                <w:rFonts w:ascii="Arial Narrow" w:hAnsi="Arial Narrow"/>
                <w:iCs/>
                <w:color w:val="000000"/>
                <w:lang w:val="sk-SK"/>
              </w:rPr>
              <w:t>bol</w:t>
            </w:r>
            <w:r>
              <w:rPr>
                <w:rFonts w:ascii="Arial Narrow" w:hAnsi="Arial Narrow"/>
                <w:iCs/>
                <w:color w:val="000000"/>
                <w:lang w:val="sk-SK"/>
              </w:rPr>
              <w:t>o</w:t>
            </w:r>
            <w:r w:rsidRPr="00983FA1">
              <w:rPr>
                <w:rFonts w:ascii="Arial Narrow" w:hAnsi="Arial Narrow"/>
                <w:iCs/>
                <w:color w:val="000000"/>
                <w:lang w:val="sk-SK"/>
              </w:rPr>
              <w:t xml:space="preserve"> </w:t>
            </w:r>
            <w:r>
              <w:rPr>
                <w:rFonts w:ascii="Arial Narrow" w:hAnsi="Arial Narrow"/>
                <w:iCs/>
                <w:color w:val="000000"/>
                <w:lang w:val="sk-SK"/>
              </w:rPr>
              <w:t xml:space="preserve">riadne preukázané </w:t>
            </w:r>
            <w:r w:rsidRPr="00983FA1">
              <w:rPr>
                <w:rFonts w:ascii="Arial Narrow" w:hAnsi="Arial Narrow"/>
                <w:iCs/>
                <w:color w:val="000000"/>
                <w:lang w:val="sk-SK"/>
              </w:rPr>
              <w:t>porušeni</w:t>
            </w:r>
            <w:r>
              <w:rPr>
                <w:rFonts w:ascii="Arial Narrow" w:hAnsi="Arial Narrow"/>
                <w:iCs/>
                <w:color w:val="000000"/>
                <w:lang w:val="sk-SK"/>
              </w:rPr>
              <w:t>e</w:t>
            </w:r>
            <w:r w:rsidRPr="00983FA1">
              <w:rPr>
                <w:rFonts w:ascii="Arial Narrow" w:hAnsi="Arial Narrow"/>
                <w:iCs/>
                <w:color w:val="000000"/>
                <w:lang w:val="sk-SK"/>
              </w:rPr>
              <w:t xml:space="preserve"> pravidiel a postupov VO</w:t>
            </w:r>
            <w:r>
              <w:rPr>
                <w:rFonts w:ascii="Arial Narrow" w:hAnsi="Arial Narrow"/>
                <w:iCs/>
                <w:color w:val="000000"/>
                <w:lang w:val="sk-SK"/>
              </w:rPr>
              <w:t>, ktoré vyústilo do udelenia finančnej korekcie, tak OH zohľadní túto informáciu pri stanovovaní finálnej výšky OV projektu/ŽoNFP).</w:t>
            </w: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sidRPr="00C164E4">
              <w:rPr>
                <w:rFonts w:ascii="Arial Narrow" w:hAnsi="Arial Narrow"/>
                <w:iCs/>
                <w:color w:val="000000"/>
                <w:lang w:val="sk-SK"/>
              </w:rPr>
              <w:t xml:space="preserve">V prípade </w:t>
            </w:r>
            <w:r w:rsidR="00823583">
              <w:rPr>
                <w:rFonts w:ascii="Arial Narrow" w:hAnsi="Arial Narrow"/>
                <w:iCs/>
                <w:color w:val="000000"/>
                <w:lang w:val="sk-SK"/>
              </w:rPr>
              <w:t xml:space="preserve">riadne </w:t>
            </w:r>
            <w:r w:rsidRPr="00AC2877">
              <w:rPr>
                <w:rFonts w:ascii="Arial Narrow" w:hAnsi="Arial Narrow"/>
                <w:iCs/>
                <w:color w:val="000000"/>
              </w:rPr>
              <w:t>zrealizovaného verejného obstarávania</w:t>
            </w:r>
            <w:r w:rsidRPr="00C164E4">
              <w:rPr>
                <w:rFonts w:ascii="Arial Narrow" w:hAnsi="Arial Narrow"/>
                <w:iCs/>
                <w:color w:val="000000"/>
                <w:lang w:val="sk-SK"/>
              </w:rPr>
              <w:t xml:space="preserve"> (</w:t>
            </w:r>
            <w:r>
              <w:rPr>
                <w:rFonts w:ascii="Arial Narrow" w:hAnsi="Arial Narrow"/>
                <w:iCs/>
                <w:color w:val="000000"/>
                <w:lang w:val="sk-SK"/>
              </w:rPr>
              <w:t xml:space="preserve">existuje </w:t>
            </w:r>
            <w:r w:rsidRPr="00C164E4">
              <w:rPr>
                <w:rFonts w:ascii="Arial Narrow" w:hAnsi="Arial Narrow"/>
                <w:iCs/>
                <w:color w:val="000000"/>
                <w:lang w:val="sk-SK"/>
              </w:rPr>
              <w:t>platná a účinná zmluva</w:t>
            </w:r>
            <w:r w:rsidRPr="00B14320">
              <w:rPr>
                <w:rFonts w:ascii="Arial Narrow" w:hAnsi="Arial Narrow"/>
                <w:iCs/>
                <w:color w:val="000000"/>
              </w:rPr>
              <w:t xml:space="preserve"> s</w:t>
            </w:r>
            <w:r>
              <w:rPr>
                <w:rFonts w:ascii="Arial Narrow" w:hAnsi="Arial Narrow"/>
                <w:iCs/>
                <w:color w:val="000000"/>
                <w:lang w:val="sk-SK"/>
              </w:rPr>
              <w:t> </w:t>
            </w:r>
            <w:r w:rsidRPr="00C164E4">
              <w:rPr>
                <w:rFonts w:ascii="Arial Narrow" w:hAnsi="Arial Narrow"/>
                <w:iCs/>
                <w:color w:val="000000"/>
                <w:lang w:val="sk-SK"/>
              </w:rPr>
              <w:t>dodávateľom</w:t>
            </w:r>
            <w:r>
              <w:rPr>
                <w:rFonts w:ascii="Arial Narrow" w:hAnsi="Arial Narrow"/>
                <w:iCs/>
                <w:color w:val="000000"/>
                <w:lang w:val="sk-SK"/>
              </w:rPr>
              <w:t xml:space="preserve"> / zhotoviteľom</w:t>
            </w:r>
            <w:r w:rsidR="00823583">
              <w:rPr>
                <w:rFonts w:ascii="Arial Narrow" w:hAnsi="Arial Narrow"/>
                <w:iCs/>
                <w:color w:val="000000"/>
                <w:lang w:val="sk-SK"/>
              </w:rPr>
              <w:t xml:space="preserve"> a zároveň sú splnené podmienky uvedené v kap. č. 6 PkOV</w:t>
            </w:r>
            <w:r w:rsidRPr="00C164E4">
              <w:rPr>
                <w:rFonts w:ascii="Arial Narrow" w:hAnsi="Arial Narrow"/>
                <w:iCs/>
                <w:color w:val="000000"/>
                <w:lang w:val="sk-SK"/>
              </w:rPr>
              <w:t xml:space="preserve">) odborný hodnotiteľ overuje dodržanie </w:t>
            </w:r>
            <w:r w:rsidRPr="00B14320">
              <w:rPr>
                <w:rFonts w:ascii="Arial Narrow" w:hAnsi="Arial Narrow"/>
                <w:iCs/>
                <w:color w:val="000000"/>
              </w:rPr>
              <w:t xml:space="preserve">zásady </w:t>
            </w:r>
            <w:r w:rsidRPr="00E603D8">
              <w:rPr>
                <w:rFonts w:ascii="Arial Narrow" w:hAnsi="Arial Narrow"/>
                <w:iCs/>
                <w:color w:val="000000"/>
              </w:rPr>
              <w:t xml:space="preserve">hospodárnosti a efektívnosti </w:t>
            </w:r>
            <w:r w:rsidRPr="00AC2877">
              <w:rPr>
                <w:rFonts w:ascii="Arial Narrow" w:hAnsi="Arial Narrow"/>
                <w:b/>
                <w:iCs/>
                <w:color w:val="000000"/>
              </w:rPr>
              <w:t>v dvoch úrovniach, a to:</w:t>
            </w:r>
          </w:p>
          <w:p w:rsidR="00E52E0E" w:rsidRPr="00E603D8"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b/>
                <w:iCs/>
                <w:color w:val="000000"/>
                <w:u w:val="single"/>
              </w:rPr>
              <w:t xml:space="preserve">1) </w:t>
            </w:r>
            <w:r w:rsidR="00D52DA2">
              <w:rPr>
                <w:rFonts w:ascii="Arial Narrow" w:hAnsi="Arial Narrow"/>
                <w:b/>
                <w:iCs/>
                <w:color w:val="000000"/>
                <w:u w:val="single"/>
              </w:rPr>
              <w:t>P</w:t>
            </w:r>
            <w:r w:rsidR="00D52DA2" w:rsidRPr="00AC2877">
              <w:rPr>
                <w:rFonts w:ascii="Arial Narrow" w:hAnsi="Arial Narrow"/>
                <w:b/>
                <w:iCs/>
                <w:color w:val="000000"/>
                <w:u w:val="single"/>
              </w:rPr>
              <w:t xml:space="preserve">orovnaním </w:t>
            </w:r>
            <w:r w:rsidRPr="00AC2877">
              <w:rPr>
                <w:rFonts w:ascii="Arial Narrow" w:hAnsi="Arial Narrow"/>
                <w:b/>
                <w:iCs/>
                <w:color w:val="000000"/>
                <w:u w:val="single"/>
              </w:rPr>
              <w:t>všetkých cien (výsledných aj čiastkových) uvedených v zmluve</w:t>
            </w:r>
            <w:r>
              <w:rPr>
                <w:rFonts w:ascii="Arial Narrow" w:hAnsi="Arial Narrow"/>
                <w:b/>
                <w:iCs/>
                <w:color w:val="000000"/>
                <w:u w:val="single"/>
              </w:rPr>
              <w:t xml:space="preserve"> / rámcovej dohode</w:t>
            </w:r>
            <w:r w:rsidRPr="00AC2877">
              <w:rPr>
                <w:rFonts w:ascii="Arial Narrow" w:hAnsi="Arial Narrow"/>
                <w:b/>
                <w:iCs/>
                <w:color w:val="000000"/>
                <w:u w:val="single"/>
              </w:rPr>
              <w:t xml:space="preserve"> s</w:t>
            </w:r>
            <w:r>
              <w:rPr>
                <w:rFonts w:ascii="Arial Narrow" w:hAnsi="Arial Narrow"/>
                <w:b/>
                <w:iCs/>
                <w:color w:val="000000"/>
                <w:u w:val="single"/>
              </w:rPr>
              <w:t xml:space="preserve"> úspešným uchádzačom (dodávateľom / zhotoviteľom)</w:t>
            </w:r>
            <w:r w:rsidRPr="00AC2877">
              <w:rPr>
                <w:rFonts w:ascii="Arial Narrow" w:hAnsi="Arial Narrow"/>
                <w:b/>
                <w:iCs/>
                <w:color w:val="000000"/>
                <w:u w:val="single"/>
              </w:rPr>
              <w:t xml:space="preserve"> s cenami uvedenými v rozpočte projektu (ŽoNFP).</w:t>
            </w:r>
            <w:r>
              <w:rPr>
                <w:rFonts w:ascii="Arial Narrow" w:hAnsi="Arial Narrow"/>
                <w:iCs/>
                <w:color w:val="000000"/>
                <w:lang w:val="sk-SK"/>
              </w:rPr>
              <w:t xml:space="preserve">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 xml:space="preserve">(ŽoNFP) </w:t>
            </w:r>
            <w:r w:rsidRPr="00BD2041">
              <w:rPr>
                <w:rFonts w:ascii="Arial Narrow" w:hAnsi="Arial Narrow"/>
                <w:iCs/>
                <w:color w:val="000000"/>
                <w:lang w:val="sk-SK"/>
              </w:rPr>
              <w:t>vyššie ako ceny uvedené v</w:t>
            </w:r>
            <w:r>
              <w:rPr>
                <w:rFonts w:ascii="Arial Narrow" w:hAnsi="Arial Narrow"/>
                <w:iCs/>
                <w:color w:val="000000"/>
                <w:lang w:val="sk-SK"/>
              </w:rPr>
              <w:t> </w:t>
            </w:r>
            <w:r w:rsidRPr="00BD2041">
              <w:rPr>
                <w:rFonts w:ascii="Arial Narrow" w:hAnsi="Arial Narrow"/>
                <w:iCs/>
                <w:color w:val="000000"/>
                <w:lang w:val="sk-SK"/>
              </w:rPr>
              <w:t>zmluve</w:t>
            </w:r>
            <w:r>
              <w:rPr>
                <w:rFonts w:ascii="Arial Narrow" w:hAnsi="Arial Narrow"/>
                <w:iCs/>
                <w:color w:val="000000"/>
                <w:lang w:val="sk-SK"/>
              </w:rPr>
              <w:t xml:space="preserve"> / rámcovej dohode, tak </w:t>
            </w:r>
            <w:r w:rsidRPr="00BD2041">
              <w:rPr>
                <w:rFonts w:ascii="Arial Narrow" w:hAnsi="Arial Narrow"/>
                <w:iCs/>
                <w:color w:val="000000"/>
                <w:lang w:val="sk-SK"/>
              </w:rPr>
              <w:t xml:space="preserve">odborný hodnotiteľ zníži </w:t>
            </w:r>
            <w:r>
              <w:rPr>
                <w:rFonts w:ascii="Arial Narrow" w:hAnsi="Arial Narrow"/>
                <w:iCs/>
                <w:color w:val="000000"/>
                <w:lang w:val="sk-SK"/>
              </w:rPr>
              <w:t xml:space="preserve">predmetné </w:t>
            </w:r>
            <w:r w:rsidRPr="00BD2041">
              <w:rPr>
                <w:rFonts w:ascii="Arial Narrow" w:hAnsi="Arial Narrow"/>
                <w:iCs/>
                <w:color w:val="000000"/>
                <w:lang w:val="sk-SK"/>
              </w:rPr>
              <w:t>položk</w:t>
            </w:r>
            <w:r>
              <w:rPr>
                <w:rFonts w:ascii="Arial Narrow" w:hAnsi="Arial Narrow"/>
                <w:iCs/>
                <w:color w:val="000000"/>
                <w:lang w:val="sk-SK"/>
              </w:rPr>
              <w:t>y na úroveň zazmluvnenej ceny</w:t>
            </w:r>
            <w:r w:rsidRPr="00BD2041">
              <w:rPr>
                <w:rFonts w:ascii="Arial Narrow" w:hAnsi="Arial Narrow"/>
                <w:iCs/>
                <w:color w:val="000000"/>
                <w:lang w:val="sk-SK"/>
              </w:rPr>
              <w:t xml:space="preserve"> a žiadosť postupuje do ďalšieho hodnotenia.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(ŽoNFP) niž</w:t>
            </w:r>
            <w:r w:rsidRPr="00BD2041">
              <w:rPr>
                <w:rFonts w:ascii="Arial Narrow" w:hAnsi="Arial Narrow"/>
                <w:iCs/>
                <w:color w:val="000000"/>
                <w:lang w:val="sk-SK"/>
              </w:rPr>
              <w:t>šie ako ceny uvedené v</w:t>
            </w:r>
            <w:r>
              <w:rPr>
                <w:rFonts w:ascii="Arial Narrow" w:hAnsi="Arial Narrow"/>
                <w:iCs/>
                <w:color w:val="000000"/>
                <w:lang w:val="sk-SK"/>
              </w:rPr>
              <w:t> </w:t>
            </w:r>
            <w:r w:rsidRPr="00BD2041">
              <w:rPr>
                <w:rFonts w:ascii="Arial Narrow" w:hAnsi="Arial Narrow"/>
                <w:iCs/>
                <w:color w:val="000000"/>
                <w:lang w:val="sk-SK"/>
              </w:rPr>
              <w:t>zmluve</w:t>
            </w:r>
            <w:r>
              <w:rPr>
                <w:rFonts w:ascii="Arial Narrow" w:hAnsi="Arial Narrow"/>
                <w:iCs/>
                <w:color w:val="000000"/>
                <w:lang w:val="sk-SK"/>
              </w:rPr>
              <w:t xml:space="preserve"> / rámcovej dohode, tak </w:t>
            </w:r>
            <w:r w:rsidRPr="00BD2041">
              <w:rPr>
                <w:rFonts w:ascii="Arial Narrow" w:hAnsi="Arial Narrow"/>
                <w:iCs/>
                <w:color w:val="000000"/>
                <w:lang w:val="sk-SK"/>
              </w:rPr>
              <w:t xml:space="preserve">odborný hodnotiteľ </w:t>
            </w:r>
            <w:r>
              <w:rPr>
                <w:rFonts w:ascii="Arial Narrow" w:hAnsi="Arial Narrow"/>
                <w:iCs/>
                <w:color w:val="000000"/>
                <w:lang w:val="sk-SK"/>
              </w:rPr>
              <w:t>ponechá tieto položky bez zmeny</w:t>
            </w:r>
            <w:r w:rsidRPr="00BD2041">
              <w:rPr>
                <w:rFonts w:ascii="Arial Narrow" w:hAnsi="Arial Narrow"/>
                <w:iCs/>
                <w:color w:val="000000"/>
                <w:lang w:val="sk-SK"/>
              </w:rPr>
              <w:t xml:space="preserve"> </w:t>
            </w:r>
            <w:r>
              <w:rPr>
                <w:rFonts w:ascii="Arial Narrow" w:hAnsi="Arial Narrow"/>
                <w:iCs/>
                <w:color w:val="000000"/>
                <w:lang w:val="sk-SK"/>
              </w:rPr>
              <w:t xml:space="preserve">(t.j. nie je oprávnený </w:t>
            </w:r>
            <w:r w:rsidRPr="00BD2041">
              <w:rPr>
                <w:rFonts w:ascii="Arial Narrow" w:hAnsi="Arial Narrow"/>
                <w:iCs/>
                <w:color w:val="000000"/>
                <w:lang w:val="sk-SK"/>
              </w:rPr>
              <w:t>t</w:t>
            </w:r>
            <w:r>
              <w:rPr>
                <w:rFonts w:ascii="Arial Narrow" w:hAnsi="Arial Narrow"/>
                <w:iCs/>
                <w:color w:val="000000"/>
                <w:lang w:val="sk-SK"/>
              </w:rPr>
              <w:t>ieto</w:t>
            </w:r>
            <w:r w:rsidRPr="00BD2041">
              <w:rPr>
                <w:rFonts w:ascii="Arial Narrow" w:hAnsi="Arial Narrow"/>
                <w:iCs/>
                <w:color w:val="000000"/>
                <w:lang w:val="sk-SK"/>
              </w:rPr>
              <w:t xml:space="preserve"> položk</w:t>
            </w:r>
            <w:r>
              <w:rPr>
                <w:rFonts w:ascii="Arial Narrow" w:hAnsi="Arial Narrow"/>
                <w:iCs/>
                <w:color w:val="000000"/>
                <w:lang w:val="sk-SK"/>
              </w:rPr>
              <w:t>y ŽoNFP navýšiť na úroveň zazmluvnenej ceny)</w:t>
            </w:r>
            <w:r w:rsidRPr="00BD2041">
              <w:rPr>
                <w:rFonts w:ascii="Arial Narrow" w:hAnsi="Arial Narrow"/>
                <w:iCs/>
                <w:color w:val="000000"/>
                <w:lang w:val="sk-SK"/>
              </w:rPr>
              <w:t xml:space="preserve"> a žiadosť postupuje do ďalšieho hodnotenia.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u w:val="single"/>
                <w:lang w:val="sk-SK"/>
              </w:rPr>
            </w:pPr>
            <w:r w:rsidRPr="00AC2877">
              <w:rPr>
                <w:rFonts w:ascii="Arial Narrow" w:hAnsi="Arial Narrow"/>
                <w:b/>
                <w:iCs/>
                <w:color w:val="000000"/>
                <w:u w:val="single"/>
              </w:rPr>
              <w:t xml:space="preserve">2) </w:t>
            </w:r>
            <w:r w:rsidR="00D52DA2" w:rsidRPr="00AC2877">
              <w:rPr>
                <w:rFonts w:ascii="Arial Narrow" w:hAnsi="Arial Narrow"/>
                <w:b/>
                <w:iCs/>
                <w:color w:val="000000"/>
                <w:u w:val="single"/>
              </w:rPr>
              <w:t>Porovnaním</w:t>
            </w:r>
            <w:r w:rsidRPr="00AC2877">
              <w:rPr>
                <w:rFonts w:ascii="Arial Narrow" w:hAnsi="Arial Narrow"/>
                <w:b/>
                <w:iCs/>
                <w:color w:val="000000"/>
                <w:u w:val="single"/>
              </w:rPr>
              <w:t xml:space="preserve"> výslednej ceny uvedenej v zmluve</w:t>
            </w:r>
            <w:r>
              <w:rPr>
                <w:rFonts w:ascii="Arial Narrow" w:hAnsi="Arial Narrow"/>
                <w:b/>
                <w:iCs/>
                <w:color w:val="000000"/>
                <w:u w:val="single"/>
              </w:rPr>
              <w:t xml:space="preserve"> / rámcovej dohode</w:t>
            </w:r>
            <w:r w:rsidRPr="00AC2877">
              <w:rPr>
                <w:rFonts w:ascii="Arial Narrow" w:hAnsi="Arial Narrow"/>
                <w:b/>
                <w:iCs/>
                <w:color w:val="000000"/>
                <w:u w:val="single"/>
              </w:rPr>
              <w:t xml:space="preserve"> s </w:t>
            </w:r>
            <w:r>
              <w:rPr>
                <w:rFonts w:ascii="Arial Narrow" w:hAnsi="Arial Narrow"/>
                <w:b/>
                <w:iCs/>
                <w:color w:val="000000"/>
                <w:u w:val="single"/>
              </w:rPr>
              <w:t>úspešným uchádzačom (</w:t>
            </w:r>
            <w:r w:rsidRPr="00AC2877">
              <w:rPr>
                <w:rFonts w:ascii="Arial Narrow" w:hAnsi="Arial Narrow"/>
                <w:b/>
                <w:iCs/>
                <w:color w:val="000000"/>
                <w:u w:val="single"/>
              </w:rPr>
              <w:t>dodávateľom / zhotoviteľom</w:t>
            </w:r>
            <w:r>
              <w:rPr>
                <w:rFonts w:ascii="Arial Narrow" w:hAnsi="Arial Narrow"/>
                <w:b/>
                <w:iCs/>
                <w:color w:val="000000"/>
                <w:u w:val="single"/>
              </w:rPr>
              <w:t>)</w:t>
            </w:r>
            <w:r w:rsidRPr="00AC2877">
              <w:rPr>
                <w:rFonts w:ascii="Arial Narrow" w:hAnsi="Arial Narrow"/>
                <w:b/>
                <w:iCs/>
                <w:color w:val="000000"/>
                <w:u w:val="single"/>
              </w:rPr>
              <w:t xml:space="preserve"> s predpokladanou hodnotou zákazky (PHZ) stanovenou v súlade s</w:t>
            </w:r>
            <w:r>
              <w:rPr>
                <w:rFonts w:ascii="Arial Narrow" w:hAnsi="Arial Narrow"/>
                <w:b/>
                <w:iCs/>
                <w:color w:val="000000"/>
                <w:u w:val="single"/>
              </w:rPr>
              <w:t>o zákonom</w:t>
            </w:r>
            <w:r w:rsidRPr="00AC2877">
              <w:rPr>
                <w:rFonts w:ascii="Arial Narrow" w:hAnsi="Arial Narrow"/>
                <w:b/>
                <w:iCs/>
                <w:color w:val="000000"/>
                <w:u w:val="single"/>
              </w:rPr>
              <w:t xml:space="preserve"> o verejnom obstarávaní a o zmene a doplnení niektorých zákonov v znení neskorších predpisov (ZVO).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lang w:val="sk-SK"/>
              </w:rPr>
              <w:t>V závislosti od toho, či je zadávanie zákazky realizované pred/po nadobudnutí účinnosti zákona č. 343/2015 Z. z. o</w:t>
            </w:r>
            <w:r>
              <w:rPr>
                <w:rFonts w:ascii="Arial Narrow" w:hAnsi="Arial Narrow"/>
                <w:iCs/>
                <w:color w:val="000000"/>
                <w:lang w:val="sk-SK"/>
              </w:rPr>
              <w:t xml:space="preserve"> verejnom obstarávaní </w:t>
            </w:r>
            <w:r w:rsidRPr="00AC2877">
              <w:rPr>
                <w:rFonts w:ascii="Arial Narrow" w:hAnsi="Arial Narrow"/>
                <w:iCs/>
                <w:color w:val="000000"/>
              </w:rPr>
              <w:t>a o zmene a doplnení niektorých zákonov v znení neskorších predpisov</w:t>
            </w:r>
            <w:r w:rsidRPr="00D70251">
              <w:rPr>
                <w:rFonts w:ascii="Arial Narrow" w:hAnsi="Arial Narrow"/>
                <w:iCs/>
                <w:color w:val="000000"/>
                <w:lang w:val="sk-SK"/>
              </w:rPr>
              <w:t>,</w:t>
            </w:r>
            <w:r>
              <w:rPr>
                <w:rFonts w:ascii="Arial Narrow" w:hAnsi="Arial Narrow"/>
                <w:iCs/>
                <w:color w:val="000000"/>
                <w:lang w:val="sk-SK"/>
              </w:rPr>
              <w:t xml:space="preserve"> tak</w:t>
            </w:r>
            <w:r w:rsidRPr="00D70251">
              <w:rPr>
                <w:rFonts w:ascii="Arial Narrow" w:hAnsi="Arial Narrow"/>
                <w:iCs/>
                <w:color w:val="000000"/>
                <w:lang w:val="sk-SK"/>
              </w:rPr>
              <w:t xml:space="preserve"> </w:t>
            </w:r>
            <w:r>
              <w:rPr>
                <w:rFonts w:ascii="Arial Narrow" w:hAnsi="Arial Narrow"/>
                <w:iCs/>
                <w:color w:val="000000"/>
                <w:lang w:val="sk-SK"/>
              </w:rPr>
              <w:t>odborný hodnotiteľ</w:t>
            </w:r>
            <w:r w:rsidRPr="00D70251">
              <w:rPr>
                <w:rFonts w:ascii="Arial Narrow" w:hAnsi="Arial Narrow"/>
                <w:iCs/>
                <w:color w:val="000000"/>
                <w:lang w:val="sk-SK"/>
              </w:rPr>
              <w:t xml:space="preserve"> postupuje podľa zákona č. 25/2006 Z</w:t>
            </w:r>
            <w:r>
              <w:rPr>
                <w:rFonts w:ascii="Arial Narrow" w:hAnsi="Arial Narrow"/>
                <w:iCs/>
                <w:color w:val="000000"/>
                <w:lang w:val="sk-SK"/>
              </w:rPr>
              <w:t xml:space="preserve">.z. o verejnom obstarávaní </w:t>
            </w:r>
            <w:r w:rsidRPr="00887A56">
              <w:rPr>
                <w:rFonts w:ascii="Arial Narrow" w:hAnsi="Arial Narrow"/>
                <w:iCs/>
                <w:color w:val="000000"/>
                <w:lang w:val="sk-SK"/>
              </w:rPr>
              <w:t xml:space="preserve">a o zmene a doplnení niektorých zákonov </w:t>
            </w:r>
            <w:r>
              <w:rPr>
                <w:rFonts w:ascii="Arial Narrow" w:hAnsi="Arial Narrow"/>
                <w:iCs/>
                <w:color w:val="000000"/>
                <w:lang w:val="sk-SK"/>
              </w:rPr>
              <w:t xml:space="preserve">v znení neskorších predpisov alebo </w:t>
            </w:r>
            <w:r w:rsidRPr="00D70251">
              <w:rPr>
                <w:rFonts w:ascii="Arial Narrow" w:hAnsi="Arial Narrow"/>
                <w:iCs/>
                <w:color w:val="000000"/>
                <w:lang w:val="sk-SK"/>
              </w:rPr>
              <w:t>zákona č. 343/2015 Z. z. o</w:t>
            </w:r>
            <w:r>
              <w:rPr>
                <w:rFonts w:ascii="Arial Narrow" w:hAnsi="Arial Narrow"/>
                <w:iCs/>
                <w:color w:val="000000"/>
                <w:lang w:val="sk-SK"/>
              </w:rPr>
              <w:t xml:space="preserve"> verejnom obstarávaní </w:t>
            </w:r>
            <w:r w:rsidRPr="00887A56">
              <w:rPr>
                <w:rFonts w:ascii="Arial Narrow" w:hAnsi="Arial Narrow"/>
                <w:iCs/>
                <w:color w:val="000000"/>
                <w:lang w:val="sk-SK"/>
              </w:rPr>
              <w:t xml:space="preserve">a o zmene a doplnení niektorých zákonov </w:t>
            </w:r>
            <w:r>
              <w:rPr>
                <w:rFonts w:ascii="Arial Narrow" w:hAnsi="Arial Narrow"/>
                <w:iCs/>
                <w:color w:val="000000"/>
                <w:lang w:val="sk-SK"/>
              </w:rPr>
              <w:t>v znení neskorších predpisov.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lang w:val="sk-SK"/>
              </w:rPr>
              <w:t xml:space="preserve">Odborný hodnotiteľ porovnáva PHZ so </w:t>
            </w:r>
            <w:r w:rsidRPr="00783508">
              <w:rPr>
                <w:rFonts w:ascii="Arial Narrow" w:hAnsi="Arial Narrow"/>
                <w:iCs/>
                <w:color w:val="000000"/>
              </w:rPr>
              <w:t>zazmluvnenými sumami bez DPH</w:t>
            </w:r>
            <w:r>
              <w:rPr>
                <w:rFonts w:ascii="Arial Narrow" w:hAnsi="Arial Narrow"/>
                <w:iCs/>
                <w:color w:val="000000"/>
              </w:rPr>
              <w:t xml:space="preserve"> (</w:t>
            </w:r>
            <w:r>
              <w:rPr>
                <w:rFonts w:ascii="Arial Narrow" w:hAnsi="Arial Narrow"/>
                <w:iCs/>
                <w:color w:val="000000"/>
                <w:lang w:val="sk-SK"/>
              </w:rPr>
              <w:t>PHZ</w:t>
            </w:r>
            <w:r w:rsidRPr="00DD09E5">
              <w:rPr>
                <w:rFonts w:ascii="Arial Narrow" w:hAnsi="Arial Narrow"/>
                <w:iCs/>
                <w:color w:val="000000"/>
                <w:lang w:val="sk-SK"/>
              </w:rPr>
              <w:t xml:space="preserve"> sa určuje </w:t>
            </w:r>
            <w:r>
              <w:rPr>
                <w:rFonts w:ascii="Arial Narrow" w:hAnsi="Arial Narrow"/>
                <w:iCs/>
                <w:color w:val="000000"/>
                <w:lang w:val="sk-SK"/>
              </w:rPr>
              <w:t>v súlade s</w:t>
            </w:r>
            <w:r w:rsidRPr="00DD09E5">
              <w:rPr>
                <w:rFonts w:ascii="Arial Narrow" w:hAnsi="Arial Narrow"/>
                <w:iCs/>
                <w:color w:val="000000"/>
                <w:lang w:val="sk-SK"/>
              </w:rPr>
              <w:t xml:space="preserve"> </w:t>
            </w:r>
            <w:r>
              <w:rPr>
                <w:rFonts w:ascii="Arial Narrow" w:hAnsi="Arial Narrow"/>
                <w:iCs/>
                <w:color w:val="000000"/>
                <w:lang w:val="sk-SK"/>
              </w:rPr>
              <w:t xml:space="preserve">ZVO </w:t>
            </w:r>
            <w:r w:rsidRPr="00DD09E5">
              <w:rPr>
                <w:rFonts w:ascii="Arial Narrow" w:hAnsi="Arial Narrow"/>
                <w:iCs/>
                <w:color w:val="000000"/>
                <w:lang w:val="sk-SK"/>
              </w:rPr>
              <w:t>ako cena bez dane z pridanej hodnoty</w:t>
            </w:r>
            <w:r>
              <w:rPr>
                <w:rFonts w:ascii="Arial Narrow" w:hAnsi="Arial Narrow"/>
                <w:iCs/>
                <w:color w:val="000000"/>
                <w:lang w:val="sk-SK"/>
              </w:rPr>
              <w:t>).</w:t>
            </w:r>
          </w:p>
          <w:p w:rsidR="00E52E0E" w:rsidRPr="00783508"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783508">
              <w:rPr>
                <w:rFonts w:ascii="Arial Narrow" w:hAnsi="Arial Narrow"/>
                <w:iCs/>
                <w:color w:val="000000"/>
              </w:rPr>
              <w:t xml:space="preserve">Ak </w:t>
            </w:r>
            <w:r>
              <w:rPr>
                <w:rFonts w:ascii="Arial Narrow" w:hAnsi="Arial Narrow"/>
                <w:iCs/>
                <w:color w:val="000000"/>
              </w:rPr>
              <w:t>sa výsledná zazmluvnená</w:t>
            </w:r>
            <w:r w:rsidRPr="00783508">
              <w:rPr>
                <w:rFonts w:ascii="Arial Narrow" w:hAnsi="Arial Narrow"/>
                <w:iCs/>
                <w:color w:val="000000"/>
              </w:rPr>
              <w:t xml:space="preserve"> cen</w:t>
            </w:r>
            <w:r>
              <w:rPr>
                <w:rFonts w:ascii="Arial Narrow" w:hAnsi="Arial Narrow"/>
                <w:iCs/>
                <w:color w:val="000000"/>
              </w:rPr>
              <w:t>a</w:t>
            </w:r>
            <w:r w:rsidRPr="00783508">
              <w:rPr>
                <w:rFonts w:ascii="Arial Narrow" w:hAnsi="Arial Narrow"/>
                <w:iCs/>
                <w:color w:val="000000"/>
              </w:rPr>
              <w:t xml:space="preserve"> uveden</w:t>
            </w:r>
            <w:r>
              <w:rPr>
                <w:rFonts w:ascii="Arial Narrow" w:hAnsi="Arial Narrow"/>
                <w:iCs/>
                <w:color w:val="000000"/>
              </w:rPr>
              <w:t xml:space="preserve">á </w:t>
            </w:r>
            <w:r w:rsidRPr="00783508">
              <w:rPr>
                <w:rFonts w:ascii="Arial Narrow" w:hAnsi="Arial Narrow"/>
                <w:iCs/>
                <w:color w:val="000000"/>
              </w:rPr>
              <w:t>v zmluv</w:t>
            </w:r>
            <w:r>
              <w:rPr>
                <w:rFonts w:ascii="Arial Narrow" w:hAnsi="Arial Narrow"/>
                <w:iCs/>
                <w:color w:val="000000"/>
              </w:rPr>
              <w:t xml:space="preserve">e / </w:t>
            </w:r>
            <w:r w:rsidRPr="00B23905">
              <w:rPr>
                <w:rFonts w:ascii="Arial Narrow" w:hAnsi="Arial Narrow"/>
                <w:iCs/>
                <w:color w:val="000000"/>
              </w:rPr>
              <w:t xml:space="preserve">rámcovej dohode </w:t>
            </w:r>
            <w:r w:rsidRPr="00B23905">
              <w:rPr>
                <w:rFonts w:ascii="Arial Narrow" w:hAnsi="Arial Narrow"/>
                <w:b/>
                <w:iCs/>
                <w:color w:val="000000"/>
                <w:u w:val="single"/>
              </w:rPr>
              <w:t>pohybuje v cenovom rozpätí 6</w:t>
            </w:r>
            <w:r w:rsidRPr="00AC2877">
              <w:rPr>
                <w:rFonts w:ascii="Arial Narrow" w:hAnsi="Arial Narrow"/>
                <w:b/>
                <w:iCs/>
                <w:color w:val="000000"/>
                <w:u w:val="single"/>
              </w:rPr>
              <w:t>0</w:t>
            </w:r>
            <w:r w:rsidRPr="00B23905">
              <w:rPr>
                <w:rFonts w:ascii="Arial Narrow" w:hAnsi="Arial Narrow"/>
                <w:b/>
                <w:iCs/>
                <w:color w:val="000000"/>
                <w:u w:val="single"/>
              </w:rPr>
              <w:t>-110% zo</w:t>
            </w:r>
            <w:r>
              <w:rPr>
                <w:rFonts w:ascii="Arial Narrow" w:hAnsi="Arial Narrow"/>
                <w:b/>
                <w:iCs/>
                <w:color w:val="000000"/>
                <w:u w:val="single"/>
              </w:rPr>
              <w:t xml:space="preserve"> sumy PHZ</w:t>
            </w:r>
            <w:r w:rsidRPr="00AC2877">
              <w:rPr>
                <w:rFonts w:ascii="Arial Narrow" w:hAnsi="Arial Narrow"/>
                <w:b/>
                <w:iCs/>
                <w:color w:val="000000"/>
              </w:rPr>
              <w:t xml:space="preserve">, </w:t>
            </w:r>
            <w:r w:rsidRPr="00AC2877">
              <w:rPr>
                <w:rFonts w:ascii="Arial Narrow" w:hAnsi="Arial Narrow"/>
                <w:iCs/>
                <w:color w:val="000000"/>
              </w:rPr>
              <w:t xml:space="preserve">tak </w:t>
            </w:r>
            <w:r w:rsidRPr="00D70251">
              <w:rPr>
                <w:rFonts w:ascii="Arial Narrow" w:hAnsi="Arial Narrow"/>
                <w:iCs/>
                <w:color w:val="000000"/>
              </w:rPr>
              <w:t>odborný hodnotiteľ posúdi takúto cenu ako hospodárnu/efektívnu a uzná nárokované výdavky za oprávnené výdavky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rPr>
              <w:t>Ak výsledná zazmluvnená cena uvedená v zmluve</w:t>
            </w:r>
            <w:r>
              <w:rPr>
                <w:rFonts w:ascii="Arial Narrow" w:hAnsi="Arial Narrow"/>
                <w:iCs/>
                <w:color w:val="000000"/>
              </w:rPr>
              <w:t xml:space="preserve"> </w:t>
            </w:r>
            <w:r w:rsidRPr="00D70251">
              <w:rPr>
                <w:rFonts w:ascii="Arial Narrow" w:hAnsi="Arial Narrow"/>
                <w:iCs/>
                <w:color w:val="000000"/>
              </w:rPr>
              <w:t>/</w:t>
            </w:r>
            <w:r>
              <w:rPr>
                <w:rFonts w:ascii="Arial Narrow" w:hAnsi="Arial Narrow"/>
                <w:iCs/>
                <w:color w:val="000000"/>
              </w:rPr>
              <w:t xml:space="preserve"> </w:t>
            </w:r>
            <w:r w:rsidRPr="00B23905">
              <w:rPr>
                <w:rFonts w:ascii="Arial Narrow" w:hAnsi="Arial Narrow"/>
                <w:iCs/>
                <w:color w:val="000000"/>
              </w:rPr>
              <w:t xml:space="preserve">rámcovej dohode </w:t>
            </w:r>
            <w:r w:rsidRPr="00AC2877">
              <w:rPr>
                <w:rFonts w:ascii="Arial Narrow" w:hAnsi="Arial Narrow"/>
                <w:b/>
                <w:iCs/>
                <w:color w:val="000000"/>
                <w:u w:val="single"/>
              </w:rPr>
              <w:t xml:space="preserve">prevyšuje </w:t>
            </w:r>
            <w:r w:rsidRPr="00B23905">
              <w:rPr>
                <w:rFonts w:ascii="Arial Narrow" w:hAnsi="Arial Narrow"/>
                <w:b/>
                <w:iCs/>
                <w:color w:val="000000"/>
                <w:u w:val="single"/>
              </w:rPr>
              <w:t>sumu PHZ o viac ako 1</w:t>
            </w:r>
            <w:r w:rsidRPr="00AC2877">
              <w:rPr>
                <w:rFonts w:ascii="Arial Narrow" w:hAnsi="Arial Narrow"/>
                <w:b/>
                <w:iCs/>
                <w:color w:val="000000"/>
                <w:u w:val="single"/>
              </w:rPr>
              <w:t>0</w:t>
            </w:r>
            <w:r w:rsidRPr="00B23905">
              <w:rPr>
                <w:rFonts w:ascii="Arial Narrow" w:hAnsi="Arial Narrow"/>
                <w:b/>
                <w:iCs/>
                <w:color w:val="000000"/>
                <w:u w:val="single"/>
              </w:rPr>
              <w:t>% alebo naopak, ak nedosahuje ani 60% zo</w:t>
            </w:r>
            <w:r>
              <w:rPr>
                <w:rFonts w:ascii="Arial Narrow" w:hAnsi="Arial Narrow"/>
                <w:b/>
                <w:iCs/>
                <w:color w:val="000000"/>
                <w:u w:val="single"/>
              </w:rPr>
              <w:t xml:space="preserve"> sumy PHZ</w:t>
            </w:r>
            <w:r w:rsidRPr="00AC2877">
              <w:rPr>
                <w:rFonts w:ascii="Arial Narrow" w:hAnsi="Arial Narrow"/>
                <w:iCs/>
                <w:color w:val="000000"/>
              </w:rPr>
              <w:t xml:space="preserve">, tak </w:t>
            </w:r>
            <w:r w:rsidRPr="00D70251">
              <w:rPr>
                <w:rFonts w:ascii="Arial Narrow" w:hAnsi="Arial Narrow"/>
                <w:iCs/>
                <w:color w:val="000000"/>
              </w:rPr>
              <w:t>si odborný</w:t>
            </w:r>
            <w:r>
              <w:rPr>
                <w:rFonts w:ascii="Arial Narrow" w:hAnsi="Arial Narrow"/>
                <w:iCs/>
                <w:color w:val="000000"/>
                <w:lang w:val="sk-SK"/>
              </w:rPr>
              <w:t xml:space="preserve"> hodnotiteľ povinne vyžiada od žiadateľa podrobné zdôvodnenie tejto skutočnosti (t.j. skutočností, ktoré sú podstatné pre jeho kvalifikované rozhodnutie). Odborný hodnotiteľ vo svojej žiadosti jasne formuluje, ktoré aspekty požaduje od žiadateľa vysvetliť, resp. jednoznačne preukázať a to tak, aby bol žiadateľ schopný riadne, účinne a v plnom rozsahu obhájiť nárokovanú sumu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nadväznosti na odpoveď žiadateľa a po riadnom preskúmaní argumentov poskytnutých v jeho stanovisku, rozhodne odborný hodnotiteľ o oprávnenosti, resp. neoprávnenosti nárokovaných výdavkov projektu (ŽoNFP). Odborný hodnotiteľ dôkladne </w:t>
            </w:r>
            <w:r w:rsidRPr="001F55DB">
              <w:rPr>
                <w:rFonts w:ascii="Arial Narrow" w:hAnsi="Arial Narrow"/>
                <w:iCs/>
                <w:color w:val="000000"/>
                <w:lang w:val="sk-SK"/>
              </w:rPr>
              <w:t xml:space="preserve">posúdi, či </w:t>
            </w:r>
            <w:r>
              <w:rPr>
                <w:rFonts w:ascii="Arial Narrow" w:hAnsi="Arial Narrow"/>
                <w:iCs/>
                <w:color w:val="000000"/>
                <w:lang w:val="sk-SK"/>
              </w:rPr>
              <w:t xml:space="preserve">cenová odchýlka </w:t>
            </w:r>
            <w:r w:rsidRPr="001F55DB">
              <w:rPr>
                <w:rFonts w:ascii="Arial Narrow" w:hAnsi="Arial Narrow"/>
                <w:iCs/>
                <w:color w:val="000000"/>
                <w:lang w:val="sk-SK"/>
              </w:rPr>
              <w:t xml:space="preserve">zodpovedá </w:t>
            </w:r>
            <w:r>
              <w:rPr>
                <w:rFonts w:ascii="Arial Narrow" w:hAnsi="Arial Narrow"/>
                <w:iCs/>
                <w:color w:val="000000"/>
                <w:lang w:val="sk-SK"/>
              </w:rPr>
              <w:t>argumentom žiadateľa (</w:t>
            </w:r>
            <w:r w:rsidRPr="001F55DB">
              <w:rPr>
                <w:rFonts w:ascii="Arial Narrow" w:hAnsi="Arial Narrow"/>
                <w:iCs/>
                <w:color w:val="000000"/>
                <w:lang w:val="sk-SK"/>
              </w:rPr>
              <w:t>navrhnuté</w:t>
            </w:r>
            <w:r w:rsidRPr="003F0F49">
              <w:rPr>
                <w:rFonts w:ascii="Arial Narrow" w:hAnsi="Arial Narrow"/>
                <w:iCs/>
                <w:color w:val="000000"/>
                <w:lang w:val="sk-SK"/>
              </w:rPr>
              <w:t>mu riešeniu</w:t>
            </w:r>
            <w:r>
              <w:rPr>
                <w:rFonts w:ascii="Arial Narrow" w:hAnsi="Arial Narrow"/>
                <w:iCs/>
                <w:color w:val="000000"/>
                <w:lang w:val="sk-SK"/>
              </w:rPr>
              <w:t>,</w:t>
            </w:r>
            <w:r w:rsidRPr="00BD2041">
              <w:rPr>
                <w:rFonts w:ascii="Arial Narrow" w:hAnsi="Arial Narrow"/>
                <w:iCs/>
                <w:color w:val="000000"/>
                <w:lang w:val="sk-SK"/>
              </w:rPr>
              <w:t xml:space="preserve"> sťaženým podmienkam realizácie projektu</w:t>
            </w:r>
            <w:r>
              <w:rPr>
                <w:rFonts w:ascii="Arial Narrow" w:hAnsi="Arial Narrow"/>
                <w:iCs/>
                <w:color w:val="000000"/>
                <w:lang w:val="sk-SK"/>
              </w:rPr>
              <w:t xml:space="preserve"> a pod.)</w:t>
            </w:r>
            <w:r w:rsidRPr="00BD2041">
              <w:rPr>
                <w:rFonts w:ascii="Arial Narrow" w:hAnsi="Arial Narrow"/>
                <w:iCs/>
                <w:color w:val="000000"/>
                <w:lang w:val="sk-SK"/>
              </w:rPr>
              <w:t xml:space="preserve">. To znamená, že </w:t>
            </w:r>
            <w:r>
              <w:rPr>
                <w:rFonts w:ascii="Arial Narrow" w:hAnsi="Arial Narrow"/>
                <w:iCs/>
                <w:color w:val="000000"/>
                <w:lang w:val="sk-SK"/>
              </w:rPr>
              <w:t xml:space="preserve">nárokované </w:t>
            </w:r>
            <w:r w:rsidRPr="00BD2041">
              <w:rPr>
                <w:rFonts w:ascii="Arial Narrow" w:hAnsi="Arial Narrow"/>
                <w:iCs/>
                <w:color w:val="000000"/>
                <w:lang w:val="sk-SK"/>
              </w:rPr>
              <w:t xml:space="preserve">výdavky </w:t>
            </w:r>
            <w:r>
              <w:rPr>
                <w:rFonts w:ascii="Arial Narrow" w:hAnsi="Arial Narrow"/>
                <w:iCs/>
                <w:color w:val="000000"/>
                <w:lang w:val="sk-SK"/>
              </w:rPr>
              <w:t xml:space="preserve">prekračujúcu </w:t>
            </w:r>
            <w:r w:rsidRPr="00B23905">
              <w:rPr>
                <w:rFonts w:ascii="Arial Narrow" w:hAnsi="Arial Narrow"/>
                <w:iCs/>
                <w:color w:val="000000"/>
                <w:lang w:val="sk-SK"/>
              </w:rPr>
              <w:t xml:space="preserve">povolenú </w:t>
            </w:r>
            <w:r w:rsidRPr="00B23905">
              <w:rPr>
                <w:rFonts w:ascii="Arial Narrow" w:hAnsi="Arial Narrow"/>
                <w:iCs/>
                <w:color w:val="000000"/>
              </w:rPr>
              <w:t>1</w:t>
            </w:r>
            <w:r w:rsidRPr="00AC2877">
              <w:rPr>
                <w:rFonts w:ascii="Arial Narrow" w:hAnsi="Arial Narrow"/>
                <w:iCs/>
                <w:color w:val="000000"/>
              </w:rPr>
              <w:t>0</w:t>
            </w:r>
            <w:r w:rsidRPr="00B23905">
              <w:rPr>
                <w:rFonts w:ascii="Arial Narrow" w:hAnsi="Arial Narrow"/>
                <w:iCs/>
                <w:color w:val="000000"/>
              </w:rPr>
              <w:t>%</w:t>
            </w:r>
            <w:r>
              <w:rPr>
                <w:rFonts w:ascii="Arial Narrow" w:hAnsi="Arial Narrow"/>
                <w:iCs/>
                <w:color w:val="000000"/>
                <w:lang w:val="sk-SK"/>
              </w:rPr>
              <w:t xml:space="preserve"> odchýlku (Zmluva vs. PHZ) b</w:t>
            </w:r>
            <w:r w:rsidRPr="00BD2041">
              <w:rPr>
                <w:rFonts w:ascii="Arial Narrow" w:hAnsi="Arial Narrow"/>
                <w:iCs/>
                <w:color w:val="000000"/>
                <w:lang w:val="sk-SK"/>
              </w:rPr>
              <w:t xml:space="preserve">udú akceptovateľné ako oprávnené iba v odôvodnených objektívnych prípadoch vyplývajúcich zo stavebno-technických, technologických, prírodných, časových alebo iných špecifík. Prekročenie </w:t>
            </w:r>
            <w:r>
              <w:rPr>
                <w:rFonts w:ascii="Arial Narrow" w:hAnsi="Arial Narrow"/>
                <w:iCs/>
                <w:color w:val="000000"/>
                <w:lang w:val="sk-SK"/>
              </w:rPr>
              <w:t>stanoveného</w:t>
            </w:r>
            <w:r w:rsidRPr="00BD2041">
              <w:rPr>
                <w:rFonts w:ascii="Arial Narrow" w:hAnsi="Arial Narrow"/>
                <w:iCs/>
                <w:color w:val="000000"/>
                <w:lang w:val="sk-SK"/>
              </w:rPr>
              <w:t xml:space="preserve"> limitu bez relevantného a overiteľného odôvodnenia bude vyhodnotené ako neoprávnené a bude adekvátne znížená </w:t>
            </w:r>
            <w:r>
              <w:rPr>
                <w:rFonts w:ascii="Arial Narrow" w:hAnsi="Arial Narrow"/>
                <w:iCs/>
                <w:color w:val="000000"/>
                <w:lang w:val="sk-SK"/>
              </w:rPr>
              <w:t xml:space="preserve">oprávnená </w:t>
            </w:r>
            <w:r w:rsidRPr="00BD2041">
              <w:rPr>
                <w:rFonts w:ascii="Arial Narrow" w:hAnsi="Arial Narrow"/>
                <w:iCs/>
                <w:color w:val="000000"/>
                <w:lang w:val="sk-SK"/>
              </w:rPr>
              <w:t>výška výdavku do úrovne</w:t>
            </w:r>
            <w:r>
              <w:rPr>
                <w:rFonts w:ascii="Arial Narrow" w:hAnsi="Arial Narrow"/>
                <w:iCs/>
                <w:color w:val="000000"/>
                <w:lang w:val="sk-SK"/>
              </w:rPr>
              <w:t xml:space="preserve"> max. PHZ +10%</w:t>
            </w:r>
            <w:r w:rsidRPr="00BD2041">
              <w:rPr>
                <w:rFonts w:ascii="Arial Narrow" w:hAnsi="Arial Narrow"/>
                <w:iCs/>
                <w:color w:val="000000"/>
                <w:lang w:val="sk-SK"/>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21454">
              <w:rPr>
                <w:rFonts w:ascii="Arial Narrow" w:hAnsi="Arial Narrow"/>
                <w:iCs/>
                <w:color w:val="000000"/>
              </w:rPr>
              <w:t xml:space="preserve">V prípade, ak nárokované výdavky ŽoNFP nedosahujú ani </w:t>
            </w:r>
            <w:r>
              <w:rPr>
                <w:rFonts w:ascii="Arial Narrow" w:hAnsi="Arial Narrow"/>
                <w:iCs/>
                <w:color w:val="000000"/>
              </w:rPr>
              <w:t>60</w:t>
            </w:r>
            <w:r w:rsidRPr="00A21454">
              <w:rPr>
                <w:rFonts w:ascii="Arial Narrow" w:hAnsi="Arial Narrow"/>
                <w:iCs/>
                <w:color w:val="000000"/>
              </w:rPr>
              <w:t>% z hodnoty PHZ, tak odborný hodnotiteľ posúdi, či projekt (ŽoNFP) je v súlade s vecne príslušnými technickými špecifikáciami, a či je realizácia projektu vôbec reálne možná za danú cenu, za daných podmienok uvedených v ŽoNFP pri dodržaní požadovanej kvality, technických parametrov, lehôt a iných požiadaviek viažucich k projektu.</w:t>
            </w:r>
            <w:r>
              <w:rPr>
                <w:rFonts w:ascii="Arial Narrow" w:hAnsi="Arial Narrow"/>
                <w:iCs/>
                <w:color w:val="000000"/>
                <w:lang w:val="sk-SK"/>
              </w:rPr>
              <w:t xml:space="preserve"> Zároveň platí, že nárokovaná cena nesmie o</w:t>
            </w:r>
            <w:r w:rsidRPr="00D270BB">
              <w:rPr>
                <w:rFonts w:ascii="Arial Narrow" w:hAnsi="Arial Narrow"/>
                <w:iCs/>
                <w:color w:val="000000"/>
                <w:lang w:val="sk-SK"/>
              </w:rPr>
              <w:t>dpor</w:t>
            </w:r>
            <w:r>
              <w:rPr>
                <w:rFonts w:ascii="Arial Narrow" w:hAnsi="Arial Narrow"/>
                <w:iCs/>
                <w:color w:val="000000"/>
                <w:lang w:val="sk-SK"/>
              </w:rPr>
              <w:t>ovať</w:t>
            </w:r>
            <w:r w:rsidRPr="00D270BB">
              <w:rPr>
                <w:rFonts w:ascii="Arial Narrow" w:hAnsi="Arial Narrow"/>
                <w:iCs/>
                <w:color w:val="000000"/>
                <w:lang w:val="sk-SK"/>
              </w:rPr>
              <w:t xml:space="preserve"> kalkulácii ceny </w:t>
            </w:r>
            <w:r>
              <w:rPr>
                <w:rFonts w:ascii="Arial Narrow" w:hAnsi="Arial Narrow"/>
                <w:iCs/>
                <w:color w:val="000000"/>
                <w:lang w:val="sk-SK"/>
              </w:rPr>
              <w:t xml:space="preserve">za </w:t>
            </w:r>
            <w:r w:rsidRPr="00D270BB">
              <w:rPr>
                <w:rFonts w:ascii="Arial Narrow" w:hAnsi="Arial Narrow"/>
                <w:iCs/>
                <w:color w:val="000000"/>
                <w:lang w:val="sk-SK"/>
              </w:rPr>
              <w:t>práce</w:t>
            </w:r>
            <w:r>
              <w:rPr>
                <w:rFonts w:ascii="Arial Narrow" w:hAnsi="Arial Narrow"/>
                <w:iCs/>
                <w:color w:val="000000"/>
                <w:lang w:val="sk-SK"/>
              </w:rPr>
              <w:t>/tovaru/služby</w:t>
            </w:r>
            <w:r w:rsidRPr="00D270BB">
              <w:rPr>
                <w:rFonts w:ascii="Arial Narrow" w:hAnsi="Arial Narrow"/>
                <w:iCs/>
                <w:color w:val="000000"/>
                <w:lang w:val="sk-SK"/>
              </w:rPr>
              <w:t xml:space="preserve"> podľa</w:t>
            </w:r>
            <w:r>
              <w:rPr>
                <w:rFonts w:ascii="Arial Narrow" w:hAnsi="Arial Narrow"/>
                <w:iCs/>
                <w:color w:val="000000"/>
                <w:lang w:val="sk-SK"/>
              </w:rPr>
              <w:t xml:space="preserve"> vecne príslušných </w:t>
            </w:r>
            <w:r w:rsidRPr="00D270BB">
              <w:rPr>
                <w:rFonts w:ascii="Arial Narrow" w:hAnsi="Arial Narrow"/>
                <w:iCs/>
                <w:color w:val="000000"/>
                <w:lang w:val="sk-SK"/>
              </w:rPr>
              <w:t xml:space="preserve">právnych predpisov </w:t>
            </w:r>
            <w:r>
              <w:rPr>
                <w:rFonts w:ascii="Arial Narrow" w:hAnsi="Arial Narrow"/>
                <w:iCs/>
                <w:color w:val="000000"/>
                <w:lang w:val="sk-SK"/>
              </w:rPr>
              <w:t>SR/EK.</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823583" w:rsidRPr="008469B0" w:rsidRDefault="00823583"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8469B0">
              <w:rPr>
                <w:rFonts w:ascii="Arial Narrow" w:hAnsi="Arial Narrow"/>
                <w:iCs/>
                <w:color w:val="000000"/>
              </w:rPr>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BD2041" w:rsidRDefault="00E52E0E" w:rsidP="00E52E0E">
            <w:pPr>
              <w:spacing w:before="0" w:after="0" w:line="240" w:lineRule="auto"/>
              <w:ind w:left="-12" w:firstLine="12"/>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d) </w:t>
            </w:r>
            <w:r w:rsidRPr="00BD2041">
              <w:rPr>
                <w:rFonts w:ascii="Arial Narrow" w:hAnsi="Arial Narrow"/>
                <w:b/>
                <w:iCs/>
                <w:color w:val="000000"/>
                <w:lang w:val="sk-SK"/>
              </w:rPr>
              <w:t>Prieskum trhu</w:t>
            </w:r>
            <w:r w:rsidRPr="00BD2041">
              <w:rPr>
                <w:rFonts w:ascii="Arial Narrow" w:hAnsi="Arial Narrow"/>
                <w:iCs/>
                <w:color w:val="000000"/>
                <w:lang w:val="sk-SK"/>
              </w:rPr>
              <w:t xml:space="preserve"> je definovaný ako činnosť, </w:t>
            </w:r>
            <w:r>
              <w:rPr>
                <w:rFonts w:ascii="Arial Narrow" w:hAnsi="Arial Narrow"/>
                <w:iCs/>
                <w:color w:val="000000"/>
                <w:lang w:val="sk-SK"/>
              </w:rPr>
              <w:t>ktorou</w:t>
            </w:r>
            <w:r w:rsidRPr="00BD2041">
              <w:rPr>
                <w:rFonts w:ascii="Arial Narrow" w:hAnsi="Arial Narrow"/>
                <w:iCs/>
                <w:color w:val="000000"/>
                <w:lang w:val="sk-SK"/>
              </w:rPr>
              <w:t xml:space="preserve"> </w:t>
            </w:r>
            <w:r>
              <w:rPr>
                <w:rFonts w:ascii="Arial Narrow" w:hAnsi="Arial Narrow"/>
                <w:iCs/>
                <w:color w:val="000000"/>
                <w:lang w:val="sk-SK"/>
              </w:rPr>
              <w:t xml:space="preserve">sa </w:t>
            </w:r>
            <w:r w:rsidRPr="00BD2041">
              <w:rPr>
                <w:rFonts w:ascii="Arial Narrow" w:hAnsi="Arial Narrow"/>
                <w:iCs/>
                <w:color w:val="000000"/>
                <w:lang w:val="sk-SK"/>
              </w:rPr>
              <w:t>zist</w:t>
            </w:r>
            <w:r>
              <w:rPr>
                <w:rFonts w:ascii="Arial Narrow" w:hAnsi="Arial Narrow"/>
                <w:iCs/>
                <w:color w:val="000000"/>
                <w:lang w:val="sk-SK"/>
              </w:rPr>
              <w:t>ia</w:t>
            </w:r>
            <w:r w:rsidRPr="00BD2041">
              <w:rPr>
                <w:rFonts w:ascii="Arial Narrow" w:hAnsi="Arial Narrow"/>
                <w:iCs/>
                <w:color w:val="000000"/>
                <w:lang w:val="sk-SK"/>
              </w:rPr>
              <w:t xml:space="preserve"> a vyhodnot</w:t>
            </w:r>
            <w:r>
              <w:rPr>
                <w:rFonts w:ascii="Arial Narrow" w:hAnsi="Arial Narrow"/>
                <w:iCs/>
                <w:color w:val="000000"/>
                <w:lang w:val="sk-SK"/>
              </w:rPr>
              <w:t>ia</w:t>
            </w:r>
            <w:r w:rsidRPr="00BD2041">
              <w:rPr>
                <w:rFonts w:ascii="Arial Narrow" w:hAnsi="Arial Narrow"/>
                <w:iCs/>
                <w:color w:val="000000"/>
                <w:lang w:val="sk-SK"/>
              </w:rPr>
              <w:t xml:space="preserve"> informácie o aktuálnych cenách tovarov, prác alebo služieb na trhu v danom čase a v danom mieste. Vykonáva sa s cieľom stanovenia cien v rozpočte projektu.</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823583"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Tento pomocný nástroj sa používa najmä v prípadoch, ak ešte nebolo vykonané verejné obstarávanie </w:t>
            </w:r>
            <w:r w:rsidR="00823583">
              <w:rPr>
                <w:rFonts w:ascii="Arial Narrow" w:hAnsi="Arial Narrow"/>
                <w:iCs/>
                <w:color w:val="000000"/>
              </w:rPr>
              <w:t xml:space="preserve">/ obstarávanie </w:t>
            </w:r>
            <w:r w:rsidR="00823583" w:rsidRPr="00AC2F04">
              <w:rPr>
                <w:rFonts w:ascii="Arial Narrow" w:hAnsi="Arial Narrow"/>
                <w:iCs/>
                <w:color w:val="000000"/>
              </w:rPr>
              <w:t xml:space="preserve">alebo </w:t>
            </w:r>
            <w:r w:rsidR="00823583">
              <w:rPr>
                <w:rFonts w:ascii="Arial Narrow" w:hAnsi="Arial Narrow"/>
                <w:iCs/>
                <w:color w:val="000000"/>
                <w:lang w:val="sk-SK"/>
              </w:rPr>
              <w:t xml:space="preserve">ak </w:t>
            </w:r>
            <w:r w:rsidR="00823583" w:rsidRPr="00AC2F04">
              <w:rPr>
                <w:rFonts w:ascii="Arial Narrow" w:hAnsi="Arial Narrow"/>
                <w:iCs/>
                <w:color w:val="000000"/>
              </w:rPr>
              <w:t>VO</w:t>
            </w:r>
            <w:r w:rsidR="00823583">
              <w:rPr>
                <w:rFonts w:ascii="Arial Narrow" w:hAnsi="Arial Narrow"/>
                <w:iCs/>
                <w:color w:val="000000"/>
                <w:lang w:val="sk-SK"/>
              </w:rPr>
              <w:t xml:space="preserve"> </w:t>
            </w:r>
            <w:r w:rsidR="00823583" w:rsidRPr="00AC2F04">
              <w:rPr>
                <w:rFonts w:ascii="Arial Narrow" w:hAnsi="Arial Narrow"/>
                <w:iCs/>
                <w:color w:val="000000"/>
              </w:rPr>
              <w:t>/ obstarávanie nespĺňa podmienky uvedené v kap. č. 6 PkOV.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 xml:space="preserve">Prieskum trhu môže byť </w:t>
            </w:r>
            <w:r>
              <w:rPr>
                <w:rFonts w:ascii="Arial Narrow" w:hAnsi="Arial Narrow"/>
                <w:iCs/>
                <w:color w:val="000000"/>
              </w:rPr>
              <w:t xml:space="preserve">z vlastného podnetu </w:t>
            </w:r>
            <w:r w:rsidRPr="00AC2877">
              <w:rPr>
                <w:rFonts w:ascii="Arial Narrow" w:hAnsi="Arial Narrow"/>
                <w:iCs/>
                <w:color w:val="000000"/>
              </w:rPr>
              <w:t>vykonávaný žiadateľom o</w:t>
            </w:r>
            <w:r w:rsidRPr="00A21454">
              <w:rPr>
                <w:rFonts w:ascii="Arial Narrow" w:hAnsi="Arial Narrow"/>
                <w:iCs/>
                <w:color w:val="000000"/>
              </w:rPr>
              <w:t> </w:t>
            </w:r>
            <w:r w:rsidRPr="00AC2877">
              <w:rPr>
                <w:rFonts w:ascii="Arial Narrow" w:hAnsi="Arial Narrow"/>
                <w:iCs/>
                <w:color w:val="000000"/>
              </w:rPr>
              <w:t>NFP</w:t>
            </w:r>
            <w:r w:rsidRPr="00A21454">
              <w:rPr>
                <w:rFonts w:ascii="Arial Narrow" w:hAnsi="Arial Narrow"/>
                <w:iCs/>
                <w:color w:val="000000"/>
              </w:rPr>
              <w:t>,</w:t>
            </w:r>
            <w:r w:rsidRPr="00AC2877">
              <w:rPr>
                <w:rFonts w:ascii="Arial Narrow" w:hAnsi="Arial Narrow"/>
                <w:iCs/>
                <w:color w:val="000000"/>
              </w:rPr>
              <w:t xml:space="preserve"> </w:t>
            </w:r>
            <w:r w:rsidRPr="00A21454">
              <w:rPr>
                <w:rFonts w:ascii="Arial Narrow" w:hAnsi="Arial Narrow"/>
                <w:iCs/>
                <w:color w:val="000000"/>
              </w:rPr>
              <w:t xml:space="preserve">odborným hodnotiteľom, resp. </w:t>
            </w:r>
            <w:r w:rsidRPr="00AC2877">
              <w:rPr>
                <w:rFonts w:ascii="Arial Narrow" w:hAnsi="Arial Narrow"/>
                <w:iCs/>
                <w:color w:val="000000"/>
              </w:rPr>
              <w:t>RO.</w:t>
            </w:r>
            <w:r w:rsidRPr="00A21454">
              <w:rPr>
                <w:rFonts w:ascii="Arial Narrow" w:hAnsi="Arial Narrow"/>
                <w:iCs/>
                <w:color w:val="000000"/>
              </w:rPr>
              <w:t xml:space="preserve"> Odborný</w:t>
            </w:r>
            <w:r>
              <w:rPr>
                <w:rFonts w:ascii="Arial Narrow" w:hAnsi="Arial Narrow"/>
                <w:iCs/>
                <w:color w:val="000000"/>
              </w:rPr>
              <w:t xml:space="preserve"> hodnotiteľ môže pri overovaní hospodárnosti/efektívnosti vychádzať zo záverov prieskumu trhu vykonaného žiadateľom alebo je oprávnený si vykonať vlastný prieskum trhu (uvedenú môžnosť využíva odborný hodnotiteľ najmä v prípadoch, ak má pochybnosti o správnosti záverov prieskumu trhu zo strany žiadateľa).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Podrobné postupy a povinnosti žiadateľa </w:t>
            </w:r>
            <w:r>
              <w:rPr>
                <w:rFonts w:ascii="Arial Narrow" w:hAnsi="Arial Narrow"/>
                <w:iCs/>
                <w:color w:val="000000"/>
                <w:lang w:val="sk-SK"/>
              </w:rPr>
              <w:t>v súvislosti s vykonaním priesku trhu (n</w:t>
            </w:r>
            <w:r>
              <w:rPr>
                <w:rFonts w:ascii="Arial Narrow" w:hAnsi="Arial Narrow"/>
                <w:iCs/>
                <w:color w:val="000000"/>
              </w:rPr>
              <w:t>apr. f</w:t>
            </w:r>
            <w:r w:rsidRPr="005044A8">
              <w:rPr>
                <w:rFonts w:ascii="Arial Narrow" w:hAnsi="Arial Narrow"/>
                <w:iCs/>
                <w:color w:val="000000"/>
              </w:rPr>
              <w:t>orm</w:t>
            </w:r>
            <w:r>
              <w:rPr>
                <w:rFonts w:ascii="Arial Narrow" w:hAnsi="Arial Narrow"/>
                <w:iCs/>
                <w:color w:val="000000"/>
              </w:rPr>
              <w:t>a</w:t>
            </w:r>
            <w:r w:rsidRPr="005044A8">
              <w:rPr>
                <w:rFonts w:ascii="Arial Narrow" w:hAnsi="Arial Narrow"/>
                <w:iCs/>
                <w:color w:val="000000"/>
              </w:rPr>
              <w:t>, rozsah a spôsob vykonania prieskumu trhu</w:t>
            </w:r>
            <w:r>
              <w:rPr>
                <w:rFonts w:ascii="Arial Narrow" w:hAnsi="Arial Narrow"/>
                <w:iCs/>
                <w:color w:val="000000"/>
              </w:rPr>
              <w:t xml:space="preserve">) </w:t>
            </w:r>
            <w:r>
              <w:rPr>
                <w:rFonts w:ascii="Arial Narrow" w:hAnsi="Arial Narrow"/>
                <w:iCs/>
                <w:color w:val="000000"/>
                <w:lang w:val="sk-SK"/>
              </w:rPr>
              <w:t>sú stanovené v pr. č. 1b PpŽ</w:t>
            </w:r>
            <w:r w:rsidR="00823583">
              <w:rPr>
                <w:rFonts w:ascii="Arial Narrow" w:hAnsi="Arial Narrow"/>
                <w:iCs/>
                <w:color w:val="000000"/>
                <w:lang w:val="sk-SK"/>
              </w:rPr>
              <w:t xml:space="preserve"> a takisto v kap. č. 6 PkOV</w:t>
            </w:r>
            <w:r>
              <w:rPr>
                <w:rFonts w:ascii="Arial Narrow" w:hAnsi="Arial Narrow"/>
                <w:iCs/>
                <w:color w:val="000000"/>
                <w:lang w:val="sk-SK"/>
              </w:rPr>
              <w:t xml:space="preserve">. Podľa týchto pravidiel postupujú aj odborní hodnotitelia, resp. zástupcovia RO vykonávajúci priesku trhu, ktorí predmetné pravidlá uplatnia analogicky </w:t>
            </w:r>
            <w:r w:rsidRPr="005044A8">
              <w:rPr>
                <w:rFonts w:ascii="Arial Narrow" w:hAnsi="Arial Narrow"/>
                <w:iCs/>
                <w:color w:val="000000"/>
              </w:rPr>
              <w:t xml:space="preserve">v závislosti od špecifík </w:t>
            </w:r>
            <w:r>
              <w:rPr>
                <w:rFonts w:ascii="Arial Narrow" w:hAnsi="Arial Narrow"/>
                <w:iCs/>
                <w:color w:val="000000"/>
              </w:rPr>
              <w:t xml:space="preserve">OPII, </w:t>
            </w:r>
            <w:r w:rsidRPr="005044A8">
              <w:rPr>
                <w:rFonts w:ascii="Arial Narrow" w:hAnsi="Arial Narrow"/>
                <w:iCs/>
                <w:color w:val="000000"/>
              </w:rPr>
              <w:t>typu oprávnených žiadateľov, charakteru podporovaných aktivít,</w:t>
            </w:r>
            <w:r>
              <w:rPr>
                <w:rFonts w:ascii="Arial Narrow" w:hAnsi="Arial Narrow"/>
                <w:iCs/>
                <w:color w:val="000000"/>
              </w:rPr>
              <w:t xml:space="preserve"> resp.</w:t>
            </w:r>
            <w:r w:rsidRPr="005044A8">
              <w:rPr>
                <w:rFonts w:ascii="Arial Narrow" w:hAnsi="Arial Narrow"/>
                <w:iCs/>
                <w:color w:val="000000"/>
              </w:rPr>
              <w:t xml:space="preserve"> administratívnej a časovej náročnosti vykonania prieskumu trhu.</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34567B">
              <w:rPr>
                <w:rFonts w:ascii="Arial Narrow" w:hAnsi="Arial Narrow"/>
                <w:iCs/>
                <w:color w:val="000000"/>
              </w:rPr>
              <w:t xml:space="preserve">Výstupné informácie o vykonanom prieskume trhu </w:t>
            </w:r>
            <w:r>
              <w:rPr>
                <w:rFonts w:ascii="Arial Narrow" w:hAnsi="Arial Narrow"/>
                <w:iCs/>
                <w:color w:val="000000"/>
              </w:rPr>
              <w:t xml:space="preserve">musia byť </w:t>
            </w:r>
            <w:r w:rsidRPr="0034567B">
              <w:rPr>
                <w:rFonts w:ascii="Arial Narrow" w:hAnsi="Arial Narrow"/>
                <w:iCs/>
                <w:color w:val="000000"/>
              </w:rPr>
              <w:t>zaznamenané v zázname o vykonaní prieskumu trhu, v ktorom sú vyhodnotené výsledky prieskumu trhu z hľadiska najnižšej ceny alebo ekonomicky najvýhodnejšej ponuky.</w:t>
            </w:r>
            <w:r>
              <w:rPr>
                <w:rFonts w:ascii="Arial Narrow" w:hAnsi="Arial Narrow"/>
                <w:iCs/>
                <w:color w:val="000000"/>
              </w:rPr>
              <w:t xml:space="preserve"> Všetky subjekty zapojené do procesu vykonania prieskumu trhu sú povinné</w:t>
            </w:r>
            <w:r w:rsidRPr="0034567B">
              <w:rPr>
                <w:rFonts w:ascii="Arial Narrow" w:hAnsi="Arial Narrow"/>
                <w:iCs/>
                <w:color w:val="000000"/>
              </w:rPr>
              <w:t xml:space="preserve"> uchováva</w:t>
            </w:r>
            <w:r>
              <w:rPr>
                <w:rFonts w:ascii="Arial Narrow" w:hAnsi="Arial Narrow"/>
                <w:iCs/>
                <w:color w:val="000000"/>
              </w:rPr>
              <w:t>ť</w:t>
            </w:r>
            <w:r w:rsidRPr="0034567B">
              <w:rPr>
                <w:rFonts w:ascii="Arial Narrow" w:hAnsi="Arial Narrow"/>
                <w:iCs/>
                <w:color w:val="000000"/>
              </w:rPr>
              <w:t xml:space="preserve"> všetky podklady z vykonan</w:t>
            </w:r>
            <w:r>
              <w:rPr>
                <w:rFonts w:ascii="Arial Narrow" w:hAnsi="Arial Narrow"/>
                <w:iCs/>
                <w:color w:val="000000"/>
              </w:rPr>
              <w:t>ého</w:t>
            </w:r>
            <w:r w:rsidRPr="0034567B">
              <w:rPr>
                <w:rFonts w:ascii="Arial Narrow" w:hAnsi="Arial Narrow"/>
                <w:iCs/>
                <w:color w:val="000000"/>
              </w:rPr>
              <w:t xml:space="preserve"> prieskumu trhu spolu so závermi z vykonaného prieskumu</w:t>
            </w:r>
            <w:r>
              <w:rPr>
                <w:rFonts w:ascii="Arial Narrow" w:hAnsi="Arial Narrow"/>
                <w:iCs/>
                <w:color w:val="000000"/>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V</w:t>
            </w:r>
            <w:r w:rsidRPr="00AC2877">
              <w:rPr>
                <w:rFonts w:ascii="Arial Narrow" w:hAnsi="Arial Narrow"/>
                <w:iCs/>
                <w:color w:val="000000"/>
              </w:rPr>
              <w:t xml:space="preserve"> prípade, ak </w:t>
            </w:r>
            <w:r>
              <w:rPr>
                <w:rFonts w:ascii="Arial Narrow" w:hAnsi="Arial Narrow"/>
                <w:iCs/>
                <w:color w:val="000000"/>
              </w:rPr>
              <w:t xml:space="preserve">si odborný hodnotiteľ spraví vlastný prieskum trhu a </w:t>
            </w:r>
            <w:r w:rsidRPr="00AC2877">
              <w:rPr>
                <w:rFonts w:ascii="Arial Narrow" w:hAnsi="Arial Narrow"/>
                <w:iCs/>
                <w:color w:val="000000"/>
              </w:rPr>
              <w:t>výška výdavkov náro</w:t>
            </w:r>
            <w:r>
              <w:rPr>
                <w:rFonts w:ascii="Arial Narrow" w:hAnsi="Arial Narrow"/>
                <w:iCs/>
                <w:color w:val="000000"/>
              </w:rPr>
              <w:t>kovaných žiadateľom</w:t>
            </w:r>
            <w:r w:rsidRPr="00AC2877">
              <w:rPr>
                <w:rFonts w:ascii="Arial Narrow" w:hAnsi="Arial Narrow"/>
                <w:iCs/>
                <w:color w:val="000000"/>
              </w:rPr>
              <w:t xml:space="preserve"> </w:t>
            </w:r>
            <w:r w:rsidRPr="0072785E">
              <w:rPr>
                <w:rFonts w:ascii="Arial Narrow" w:hAnsi="Arial Narrow"/>
                <w:iCs/>
                <w:color w:val="000000"/>
              </w:rPr>
              <w:t xml:space="preserve">uvedená v zázname o vykonaní prieskumu trhu </w:t>
            </w:r>
            <w:r>
              <w:rPr>
                <w:rFonts w:ascii="Arial Narrow" w:hAnsi="Arial Narrow"/>
                <w:iCs/>
                <w:color w:val="000000"/>
              </w:rPr>
              <w:t xml:space="preserve">zo strany žiadateľa sa </w:t>
            </w:r>
            <w:r w:rsidRPr="0072785E">
              <w:rPr>
                <w:rFonts w:ascii="Arial Narrow" w:hAnsi="Arial Narrow"/>
                <w:iCs/>
                <w:color w:val="000000"/>
                <w:u w:val="single"/>
              </w:rPr>
              <w:t xml:space="preserve">odlišuje od výslednej sumy zistenej prieskumom trhu a zaznamenanej v zázname o </w:t>
            </w:r>
            <w:r w:rsidRPr="00B23905">
              <w:rPr>
                <w:rFonts w:ascii="Arial Narrow" w:hAnsi="Arial Narrow"/>
                <w:iCs/>
                <w:color w:val="000000"/>
                <w:u w:val="single"/>
              </w:rPr>
              <w:t>vykonaní prieskumu trhu zo strany odborného hodnotiteľa</w:t>
            </w:r>
            <w:r w:rsidRPr="00B23905">
              <w:rPr>
                <w:rFonts w:ascii="Arial Narrow" w:hAnsi="Arial Narrow"/>
                <w:b/>
                <w:iCs/>
                <w:color w:val="000000"/>
                <w:u w:val="single"/>
              </w:rPr>
              <w:t xml:space="preserve"> o menej ako 20%, </w:t>
            </w:r>
            <w:r w:rsidRPr="00B23905">
              <w:rPr>
                <w:rFonts w:ascii="Arial Narrow" w:hAnsi="Arial Narrow"/>
                <w:iCs/>
                <w:color w:val="000000"/>
              </w:rPr>
              <w:t>tak odborný hodnotiteľ posúdi takúto cenu ako hospodárnu/efektívnu</w:t>
            </w:r>
            <w:r>
              <w:rPr>
                <w:rFonts w:ascii="Arial Narrow" w:hAnsi="Arial Narrow"/>
                <w:iCs/>
                <w:color w:val="000000"/>
                <w:lang w:val="sk-SK"/>
              </w:rPr>
              <w:t xml:space="preserve"> a uzná nárokované výdavky za oprávnené výdavky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V</w:t>
            </w:r>
            <w:r w:rsidRPr="00C07176">
              <w:rPr>
                <w:rFonts w:ascii="Arial Narrow" w:hAnsi="Arial Narrow"/>
                <w:iCs/>
                <w:color w:val="000000"/>
              </w:rPr>
              <w:t xml:space="preserve"> prípade, ak </w:t>
            </w:r>
            <w:r>
              <w:rPr>
                <w:rFonts w:ascii="Arial Narrow" w:hAnsi="Arial Narrow"/>
                <w:iCs/>
                <w:color w:val="000000"/>
              </w:rPr>
              <w:t xml:space="preserve">sa </w:t>
            </w:r>
            <w:r w:rsidRPr="00C07176">
              <w:rPr>
                <w:rFonts w:ascii="Arial Narrow" w:hAnsi="Arial Narrow"/>
                <w:iCs/>
                <w:color w:val="000000"/>
              </w:rPr>
              <w:t>výška výdavkov nárokovaných žiadateľom</w:t>
            </w:r>
            <w:r>
              <w:rPr>
                <w:rFonts w:ascii="Arial Narrow" w:hAnsi="Arial Narrow"/>
                <w:iCs/>
                <w:color w:val="000000"/>
              </w:rPr>
              <w:t xml:space="preserve"> </w:t>
            </w:r>
            <w:r w:rsidRPr="00C07176">
              <w:rPr>
                <w:rFonts w:ascii="Arial Narrow" w:hAnsi="Arial Narrow"/>
                <w:iCs/>
                <w:color w:val="000000"/>
              </w:rPr>
              <w:t xml:space="preserve">uvedená v zázname o vykonaní prieskumu trhu zo strany žiadateľa </w:t>
            </w:r>
            <w:r w:rsidRPr="00C07176">
              <w:rPr>
                <w:rFonts w:ascii="Arial Narrow" w:hAnsi="Arial Narrow"/>
                <w:iCs/>
                <w:color w:val="000000"/>
                <w:u w:val="single"/>
              </w:rPr>
              <w:t xml:space="preserve">odlišuje od výslednej sumy zistenej prieskumom trhu a zaznamenanej v zázname o </w:t>
            </w:r>
            <w:r w:rsidRPr="00B23905">
              <w:rPr>
                <w:rFonts w:ascii="Arial Narrow" w:hAnsi="Arial Narrow"/>
                <w:iCs/>
                <w:color w:val="000000"/>
                <w:u w:val="single"/>
              </w:rPr>
              <w:t>vykonaní prieskumu trhu zo strany odborného hodnotiteľa</w:t>
            </w:r>
            <w:r w:rsidRPr="00B23905">
              <w:rPr>
                <w:rFonts w:ascii="Arial Narrow" w:hAnsi="Arial Narrow"/>
                <w:b/>
                <w:iCs/>
                <w:color w:val="000000"/>
                <w:u w:val="single"/>
              </w:rPr>
              <w:t xml:space="preserve"> o viac ako 20%,</w:t>
            </w:r>
            <w:r w:rsidRPr="00AC2877">
              <w:rPr>
                <w:rFonts w:ascii="Arial Narrow" w:hAnsi="Arial Narrow"/>
                <w:b/>
                <w:iCs/>
                <w:color w:val="000000"/>
              </w:rPr>
              <w:t xml:space="preserve"> </w:t>
            </w:r>
            <w:r w:rsidRPr="00B23905">
              <w:rPr>
                <w:rFonts w:ascii="Arial Narrow" w:hAnsi="Arial Narrow"/>
                <w:iCs/>
                <w:color w:val="000000"/>
              </w:rPr>
              <w:t>tak si odborný hodnotiteľ povinne vyžiada od žiadateľa podrobné zdôvodnenie</w:t>
            </w:r>
            <w:r>
              <w:rPr>
                <w:rFonts w:ascii="Arial Narrow" w:hAnsi="Arial Narrow"/>
                <w:iCs/>
                <w:color w:val="000000"/>
                <w:lang w:val="sk-SK"/>
              </w:rPr>
              <w:t xml:space="preserve"> tejto skutočnosti (t.j. skutočností, ktoré sú podstatné pre jeho kvalifikované rozhodnutie). Odborný hodnotiteľ vo svojej žiadosti jasne formuluje, ktoré aspekty požaduje od žiadateľa vysvetliť, resp. jednoznačne preukázať a to tak, aby bol žiadateľ schopný riadne, účinne a v plnom rozsahu obhájiť nárokovanú sumu projektu (ŽoNFP). V nadväznosti na odpoveď žiadateľa a po riadnom preskúmaní argumentov poskytnutých v jeho stanovisku rozhodne odborný hodnotiteľ o oprávnenosti/neoprávnenosti nárokovaných výdavkov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nárokované výdavky ŽoNFP vyplývajúce z prieskumu trhu žiadateľa prevyšujú smerom nahor povolenú hranicu o viac ako 20%, tak odborný hodnotiteľ dôkladne </w:t>
            </w:r>
            <w:r w:rsidRPr="001F55DB">
              <w:rPr>
                <w:rFonts w:ascii="Arial Narrow" w:hAnsi="Arial Narrow"/>
                <w:iCs/>
                <w:color w:val="000000"/>
                <w:lang w:val="sk-SK"/>
              </w:rPr>
              <w:t xml:space="preserve">posúdi, či </w:t>
            </w:r>
            <w:r>
              <w:rPr>
                <w:rFonts w:ascii="Arial Narrow" w:hAnsi="Arial Narrow"/>
                <w:iCs/>
                <w:color w:val="000000"/>
                <w:lang w:val="sk-SK"/>
              </w:rPr>
              <w:t>táto odchýlka</w:t>
            </w:r>
            <w:r w:rsidRPr="001F55DB">
              <w:rPr>
                <w:rFonts w:ascii="Arial Narrow" w:hAnsi="Arial Narrow"/>
                <w:iCs/>
                <w:color w:val="000000"/>
                <w:lang w:val="sk-SK"/>
              </w:rPr>
              <w:t xml:space="preserve"> </w:t>
            </w:r>
            <w:r>
              <w:rPr>
                <w:rFonts w:ascii="Arial Narrow" w:hAnsi="Arial Narrow"/>
                <w:iCs/>
                <w:color w:val="000000"/>
                <w:lang w:val="sk-SK"/>
              </w:rPr>
              <w:t xml:space="preserve">v cene </w:t>
            </w:r>
            <w:r w:rsidRPr="001F55DB">
              <w:rPr>
                <w:rFonts w:ascii="Arial Narrow" w:hAnsi="Arial Narrow"/>
                <w:iCs/>
                <w:color w:val="000000"/>
                <w:lang w:val="sk-SK"/>
              </w:rPr>
              <w:t xml:space="preserve">zodpovedá </w:t>
            </w:r>
            <w:r>
              <w:rPr>
                <w:rFonts w:ascii="Arial Narrow" w:hAnsi="Arial Narrow"/>
                <w:iCs/>
                <w:color w:val="000000"/>
                <w:lang w:val="sk-SK"/>
              </w:rPr>
              <w:t xml:space="preserve">argumentom žiadateľa, resp. skutočnej trhovej cene výdavku a </w:t>
            </w:r>
            <w:r w:rsidRPr="001F55DB">
              <w:rPr>
                <w:rFonts w:ascii="Arial Narrow" w:hAnsi="Arial Narrow"/>
                <w:iCs/>
                <w:color w:val="000000"/>
                <w:lang w:val="sk-SK"/>
              </w:rPr>
              <w:t>navrhnuté</w:t>
            </w:r>
            <w:r w:rsidRPr="003F0F49">
              <w:rPr>
                <w:rFonts w:ascii="Arial Narrow" w:hAnsi="Arial Narrow"/>
                <w:iCs/>
                <w:color w:val="000000"/>
                <w:lang w:val="sk-SK"/>
              </w:rPr>
              <w:t>mu riešeniu</w:t>
            </w:r>
            <w:r>
              <w:rPr>
                <w:rFonts w:ascii="Arial Narrow" w:hAnsi="Arial Narrow"/>
                <w:iCs/>
                <w:color w:val="000000"/>
                <w:lang w:val="sk-SK"/>
              </w:rPr>
              <w:t xml:space="preserve">, </w:t>
            </w:r>
            <w:r w:rsidRPr="00BD2041">
              <w:rPr>
                <w:rFonts w:ascii="Arial Narrow" w:hAnsi="Arial Narrow"/>
                <w:iCs/>
                <w:color w:val="000000"/>
                <w:lang w:val="sk-SK"/>
              </w:rPr>
              <w:t>sťaženým podmienkam realizácie projektu</w:t>
            </w:r>
            <w:r>
              <w:rPr>
                <w:rFonts w:ascii="Arial Narrow" w:hAnsi="Arial Narrow"/>
                <w:iCs/>
                <w:color w:val="000000"/>
                <w:lang w:val="sk-SK"/>
              </w:rPr>
              <w:t xml:space="preserve"> a pod. Výdavky prekračujúce stanovenú hranicu b</w:t>
            </w:r>
            <w:r w:rsidRPr="00BD2041">
              <w:rPr>
                <w:rFonts w:ascii="Arial Narrow" w:hAnsi="Arial Narrow"/>
                <w:iCs/>
                <w:color w:val="000000"/>
                <w:lang w:val="sk-SK"/>
              </w:rPr>
              <w:t xml:space="preserve">udú akceptovateľné ako oprávnené iba v odôvodnených objektívnych prípadoch vyplývajúcich zo stavebno-technických, technologických, prírodných, časových alebo iných špecifík. Prekročenie </w:t>
            </w:r>
            <w:r>
              <w:rPr>
                <w:rFonts w:ascii="Arial Narrow" w:hAnsi="Arial Narrow"/>
                <w:iCs/>
                <w:color w:val="000000"/>
                <w:lang w:val="sk-SK"/>
              </w:rPr>
              <w:t>stanoveného</w:t>
            </w:r>
            <w:r w:rsidRPr="00BD2041">
              <w:rPr>
                <w:rFonts w:ascii="Arial Narrow" w:hAnsi="Arial Narrow"/>
                <w:iCs/>
                <w:color w:val="000000"/>
                <w:lang w:val="sk-SK"/>
              </w:rPr>
              <w:t xml:space="preserve"> limitu bez relevantného a overiteľného odôvodnenia bude vyhodnotené ako neoprávnené a bude adekvátne znížená </w:t>
            </w:r>
            <w:r>
              <w:rPr>
                <w:rFonts w:ascii="Arial Narrow" w:hAnsi="Arial Narrow"/>
                <w:iCs/>
                <w:color w:val="000000"/>
                <w:lang w:val="sk-SK"/>
              </w:rPr>
              <w:t xml:space="preserve">oprávnená </w:t>
            </w:r>
            <w:r w:rsidRPr="00BD2041">
              <w:rPr>
                <w:rFonts w:ascii="Arial Narrow" w:hAnsi="Arial Narrow"/>
                <w:iCs/>
                <w:color w:val="000000"/>
                <w:lang w:val="sk-SK"/>
              </w:rPr>
              <w:t>výška výdavku do úrovne</w:t>
            </w:r>
            <w:r>
              <w:rPr>
                <w:rFonts w:ascii="Arial Narrow" w:hAnsi="Arial Narrow"/>
                <w:iCs/>
                <w:color w:val="000000"/>
                <w:lang w:val="sk-SK"/>
              </w:rPr>
              <w:t xml:space="preserve"> max. prieskum odborného hodnotiteľa +20%</w:t>
            </w:r>
            <w:r w:rsidRPr="00BD2041">
              <w:rPr>
                <w:rFonts w:ascii="Arial Narrow" w:hAnsi="Arial Narrow"/>
                <w:iCs/>
                <w:color w:val="000000"/>
                <w:lang w:val="sk-SK"/>
              </w:rPr>
              <w:t>.</w:t>
            </w: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prípade, ak nárokované výdavky ŽoNFP vyplývajúce z prieskumu trhu žiadateľa nedosahujú ani 80% z hodnoty prieskumu trhu odborného hodnotiteľa, tak odborný hodnotiteľ </w:t>
            </w:r>
            <w:r w:rsidRPr="00ED7068">
              <w:rPr>
                <w:rFonts w:ascii="Arial Narrow" w:hAnsi="Arial Narrow"/>
                <w:iCs/>
                <w:color w:val="000000"/>
                <w:lang w:val="sk-SK"/>
              </w:rPr>
              <w:t>posúd</w:t>
            </w:r>
            <w:r>
              <w:rPr>
                <w:rFonts w:ascii="Arial Narrow" w:hAnsi="Arial Narrow"/>
                <w:iCs/>
                <w:color w:val="000000"/>
                <w:lang w:val="sk-SK"/>
              </w:rPr>
              <w:t>i</w:t>
            </w:r>
            <w:r w:rsidRPr="00ED7068">
              <w:rPr>
                <w:rFonts w:ascii="Arial Narrow" w:hAnsi="Arial Narrow"/>
                <w:iCs/>
                <w:color w:val="000000"/>
                <w:lang w:val="sk-SK"/>
              </w:rPr>
              <w:t xml:space="preserve">, či </w:t>
            </w:r>
            <w:r>
              <w:rPr>
                <w:rFonts w:ascii="Arial Narrow" w:hAnsi="Arial Narrow"/>
                <w:iCs/>
                <w:color w:val="000000"/>
                <w:lang w:val="sk-SK"/>
              </w:rPr>
              <w:t xml:space="preserve">projekt (ŽoNFP) je v súlade s vecne príslušnými technickými špecifikáciami, a či </w:t>
            </w:r>
            <w:r w:rsidRPr="00ED7068">
              <w:rPr>
                <w:rFonts w:ascii="Arial Narrow" w:hAnsi="Arial Narrow"/>
                <w:iCs/>
                <w:color w:val="000000"/>
                <w:lang w:val="sk-SK"/>
              </w:rPr>
              <w:t xml:space="preserve">je realizácia </w:t>
            </w:r>
            <w:r>
              <w:rPr>
                <w:rFonts w:ascii="Arial Narrow" w:hAnsi="Arial Narrow"/>
                <w:iCs/>
                <w:color w:val="000000"/>
                <w:lang w:val="sk-SK"/>
              </w:rPr>
              <w:t>projektu vôbec r</w:t>
            </w:r>
            <w:r w:rsidRPr="00ED7068">
              <w:rPr>
                <w:rFonts w:ascii="Arial Narrow" w:hAnsi="Arial Narrow"/>
                <w:iCs/>
                <w:color w:val="000000"/>
                <w:lang w:val="sk-SK"/>
              </w:rPr>
              <w:t xml:space="preserve">eálne možná za danú cenu, za daných podmienok uvedených v </w:t>
            </w:r>
            <w:r>
              <w:rPr>
                <w:rFonts w:ascii="Arial Narrow" w:hAnsi="Arial Narrow"/>
                <w:iCs/>
                <w:color w:val="000000"/>
                <w:lang w:val="sk-SK"/>
              </w:rPr>
              <w:t>ŽoNFP</w:t>
            </w:r>
            <w:r w:rsidRPr="00ED7068">
              <w:rPr>
                <w:rFonts w:ascii="Arial Narrow" w:hAnsi="Arial Narrow"/>
                <w:iCs/>
                <w:color w:val="000000"/>
                <w:lang w:val="sk-SK"/>
              </w:rPr>
              <w:t xml:space="preserve"> pri dodržaní požadovanej kvality, technických parametrov, lehôt a iných požiadaviek viažucich </w:t>
            </w:r>
            <w:r>
              <w:rPr>
                <w:rFonts w:ascii="Arial Narrow" w:hAnsi="Arial Narrow"/>
                <w:iCs/>
                <w:color w:val="000000"/>
                <w:lang w:val="sk-SK"/>
              </w:rPr>
              <w:t>k projektu. O</w:t>
            </w:r>
            <w:r w:rsidRPr="00BD2041">
              <w:rPr>
                <w:rFonts w:ascii="Arial Narrow" w:hAnsi="Arial Narrow"/>
                <w:iCs/>
                <w:color w:val="000000"/>
                <w:lang w:val="sk-SK"/>
              </w:rPr>
              <w:t xml:space="preserve">dborný hodnotiteľ </w:t>
            </w:r>
            <w:r>
              <w:rPr>
                <w:rFonts w:ascii="Arial Narrow" w:hAnsi="Arial Narrow"/>
                <w:iCs/>
                <w:color w:val="000000"/>
                <w:lang w:val="sk-SK"/>
              </w:rPr>
              <w:t xml:space="preserve">nie je oprávnený </w:t>
            </w:r>
            <w:r w:rsidRPr="00BD2041">
              <w:rPr>
                <w:rFonts w:ascii="Arial Narrow" w:hAnsi="Arial Narrow"/>
                <w:iCs/>
                <w:color w:val="000000"/>
                <w:lang w:val="sk-SK"/>
              </w:rPr>
              <w:t>položk</w:t>
            </w:r>
            <w:r>
              <w:rPr>
                <w:rFonts w:ascii="Arial Narrow" w:hAnsi="Arial Narrow"/>
                <w:iCs/>
                <w:color w:val="000000"/>
                <w:lang w:val="sk-SK"/>
              </w:rPr>
              <w:t>y ŽoNFP navyšovať na úroveň výsledkov svojho prieskumu trhu. Zároveň platí, že nárokovaná cena nesmie o</w:t>
            </w:r>
            <w:r w:rsidRPr="00D270BB">
              <w:rPr>
                <w:rFonts w:ascii="Arial Narrow" w:hAnsi="Arial Narrow"/>
                <w:iCs/>
                <w:color w:val="000000"/>
                <w:lang w:val="sk-SK"/>
              </w:rPr>
              <w:t>dpor</w:t>
            </w:r>
            <w:r>
              <w:rPr>
                <w:rFonts w:ascii="Arial Narrow" w:hAnsi="Arial Narrow"/>
                <w:iCs/>
                <w:color w:val="000000"/>
                <w:lang w:val="sk-SK"/>
              </w:rPr>
              <w:t>ovať</w:t>
            </w:r>
            <w:r w:rsidRPr="00D270BB">
              <w:rPr>
                <w:rFonts w:ascii="Arial Narrow" w:hAnsi="Arial Narrow"/>
                <w:iCs/>
                <w:color w:val="000000"/>
                <w:lang w:val="sk-SK"/>
              </w:rPr>
              <w:t xml:space="preserve"> kalkulácii ceny </w:t>
            </w:r>
            <w:r>
              <w:rPr>
                <w:rFonts w:ascii="Arial Narrow" w:hAnsi="Arial Narrow"/>
                <w:iCs/>
                <w:color w:val="000000"/>
                <w:lang w:val="sk-SK"/>
              </w:rPr>
              <w:t xml:space="preserve">za </w:t>
            </w:r>
            <w:r w:rsidRPr="00D270BB">
              <w:rPr>
                <w:rFonts w:ascii="Arial Narrow" w:hAnsi="Arial Narrow"/>
                <w:iCs/>
                <w:color w:val="000000"/>
                <w:lang w:val="sk-SK"/>
              </w:rPr>
              <w:t>práce</w:t>
            </w:r>
            <w:r>
              <w:rPr>
                <w:rFonts w:ascii="Arial Narrow" w:hAnsi="Arial Narrow"/>
                <w:iCs/>
                <w:color w:val="000000"/>
                <w:lang w:val="sk-SK"/>
              </w:rPr>
              <w:t>/tovaru/služby</w:t>
            </w:r>
            <w:r w:rsidRPr="00D270BB">
              <w:rPr>
                <w:rFonts w:ascii="Arial Narrow" w:hAnsi="Arial Narrow"/>
                <w:iCs/>
                <w:color w:val="000000"/>
                <w:lang w:val="sk-SK"/>
              </w:rPr>
              <w:t xml:space="preserve"> podľa</w:t>
            </w:r>
            <w:r>
              <w:rPr>
                <w:rFonts w:ascii="Arial Narrow" w:hAnsi="Arial Narrow"/>
                <w:iCs/>
                <w:color w:val="000000"/>
                <w:lang w:val="sk-SK"/>
              </w:rPr>
              <w:t xml:space="preserve"> vecne príslušných </w:t>
            </w:r>
            <w:r w:rsidRPr="00D270BB">
              <w:rPr>
                <w:rFonts w:ascii="Arial Narrow" w:hAnsi="Arial Narrow"/>
                <w:iCs/>
                <w:color w:val="000000"/>
                <w:lang w:val="sk-SK"/>
              </w:rPr>
              <w:t xml:space="preserve">právnych predpisov </w:t>
            </w:r>
            <w:r>
              <w:rPr>
                <w:rFonts w:ascii="Arial Narrow" w:hAnsi="Arial Narrow"/>
                <w:iCs/>
                <w:color w:val="000000"/>
                <w:lang w:val="sk-SK"/>
              </w:rPr>
              <w:t>SR/EK.</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Pr="00B10500"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B10500">
              <w:rPr>
                <w:rFonts w:ascii="Arial Narrow" w:hAnsi="Arial Narrow"/>
                <w:iCs/>
                <w:color w:val="000000"/>
              </w:rPr>
              <w:t>Pozn.</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r w:rsidRPr="00AC2877">
              <w:rPr>
                <w:rFonts w:ascii="Arial Narrow" w:hAnsi="Arial Narrow"/>
                <w:i/>
                <w:iCs/>
                <w:color w:val="000000"/>
              </w:rPr>
              <w:t xml:space="preserve">Ad1 - tolerancia 20% cenového rozdielu, ktorá je </w:t>
            </w:r>
            <w:r>
              <w:rPr>
                <w:rFonts w:ascii="Arial Narrow" w:hAnsi="Arial Narrow"/>
                <w:i/>
                <w:iCs/>
                <w:color w:val="000000"/>
              </w:rPr>
              <w:t xml:space="preserve">vo fáze vykonania prieskumu trhu </w:t>
            </w:r>
            <w:r w:rsidRPr="00AC2877">
              <w:rPr>
                <w:rFonts w:ascii="Arial Narrow" w:hAnsi="Arial Narrow"/>
                <w:i/>
                <w:iCs/>
                <w:color w:val="000000"/>
              </w:rPr>
              <w:t xml:space="preserve">akceptovateľná pre RO, je stanovená </w:t>
            </w:r>
            <w:r>
              <w:rPr>
                <w:rFonts w:ascii="Arial Narrow" w:hAnsi="Arial Narrow"/>
                <w:i/>
                <w:iCs/>
                <w:color w:val="000000"/>
              </w:rPr>
              <w:t xml:space="preserve">analogicky </w:t>
            </w:r>
            <w:r w:rsidRPr="00AC2877">
              <w:rPr>
                <w:rFonts w:ascii="Arial Narrow" w:hAnsi="Arial Narrow"/>
                <w:i/>
                <w:iCs/>
                <w:color w:val="000000"/>
              </w:rPr>
              <w:t xml:space="preserve">v súlade s judikatúrou SR v oblasti </w:t>
            </w:r>
            <w:r>
              <w:rPr>
                <w:rFonts w:ascii="Arial Narrow" w:hAnsi="Arial Narrow"/>
                <w:i/>
                <w:iCs/>
                <w:color w:val="000000"/>
              </w:rPr>
              <w:t xml:space="preserve">určovania </w:t>
            </w:r>
            <w:r w:rsidRPr="00AC2877">
              <w:rPr>
                <w:rFonts w:ascii="Arial Narrow" w:hAnsi="Arial Narrow"/>
                <w:i/>
                <w:iCs/>
                <w:color w:val="000000"/>
              </w:rPr>
              <w:t>cien nehnuteľností, ktorá predpokladá, že ak sa v zmluve dohodnutá cena líši od všeobecnej ceny na trhu o menej ako 20%, súd zmluvu ponechá bez zmeny.</w:t>
            </w: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p>
          <w:p w:rsidR="00E52E0E" w:rsidRPr="00B10500"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lang w:val="sk-SK"/>
              </w:rPr>
            </w:pPr>
            <w:r w:rsidRPr="00B10500">
              <w:rPr>
                <w:rFonts w:ascii="Arial Narrow" w:hAnsi="Arial Narrow"/>
                <w:i/>
                <w:iCs/>
                <w:color w:val="000000"/>
              </w:rPr>
              <w:t>Ad2 - tento pomocný nástroj (prieskum trhu) je vymedzený výlučne pre aplikáciu hospodárnosti pre účely tejto príručky, týmto nie sú dotknuté povinnosti žiadateľa/prijímateľa a RO  vyplývajúce z Príručky pre realizáciu VO RO OPII.</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r>
              <w:rPr>
                <w:rFonts w:ascii="Arial Narrow" w:hAnsi="Arial Narrow"/>
                <w:b/>
                <w:iCs/>
                <w:color w:val="000000"/>
                <w:lang w:val="sk-SK"/>
              </w:rPr>
              <w:t>e) E</w:t>
            </w:r>
            <w:r w:rsidRPr="00AC2877">
              <w:rPr>
                <w:rFonts w:ascii="Arial Narrow" w:hAnsi="Arial Narrow"/>
                <w:b/>
                <w:iCs/>
                <w:color w:val="000000"/>
              </w:rPr>
              <w:t xml:space="preserve">xpertízne posúdenie </w:t>
            </w:r>
            <w:r>
              <w:rPr>
                <w:rFonts w:ascii="Arial Narrow" w:hAnsi="Arial Narrow"/>
                <w:b/>
                <w:iCs/>
                <w:color w:val="000000"/>
              </w:rPr>
              <w:t xml:space="preserve">- </w:t>
            </w:r>
            <w:r w:rsidRPr="00AC2877">
              <w:rPr>
                <w:rFonts w:ascii="Arial Narrow" w:hAnsi="Arial Narrow"/>
                <w:b/>
                <w:iCs/>
                <w:color w:val="000000"/>
              </w:rPr>
              <w:t>štátna / rezortná expertíza</w:t>
            </w:r>
            <w:r>
              <w:rPr>
                <w:rFonts w:ascii="Arial Narrow" w:hAnsi="Arial Narrow"/>
                <w:b/>
                <w:iCs/>
                <w:color w:val="000000"/>
              </w:rPr>
              <w:t xml:space="preserve"> </w:t>
            </w:r>
            <w:r w:rsidRPr="001F55DB">
              <w:rPr>
                <w:rFonts w:ascii="Arial Narrow" w:hAnsi="Arial Narrow"/>
                <w:b/>
                <w:iCs/>
                <w:color w:val="000000"/>
              </w:rPr>
              <w:t>(povinný pomocný nástroj</w:t>
            </w:r>
            <w:r>
              <w:rPr>
                <w:rFonts w:ascii="Arial Narrow" w:hAnsi="Arial Narrow"/>
                <w:b/>
                <w:iCs/>
                <w:color w:val="000000"/>
              </w:rPr>
              <w:t xml:space="preserve"> pre výdavky projektov/ŽoNFP OPII naviazané na verejné práce v zmysle z</w:t>
            </w:r>
            <w:r w:rsidRPr="00FA608C">
              <w:rPr>
                <w:rFonts w:ascii="Arial Narrow" w:hAnsi="Arial Narrow"/>
                <w:b/>
                <w:iCs/>
                <w:color w:val="000000"/>
              </w:rPr>
              <w:t>ákon</w:t>
            </w:r>
            <w:r>
              <w:rPr>
                <w:rFonts w:ascii="Arial Narrow" w:hAnsi="Arial Narrow"/>
                <w:b/>
                <w:iCs/>
                <w:color w:val="000000"/>
              </w:rPr>
              <w:t>a</w:t>
            </w:r>
            <w:r w:rsidRPr="00FA608C">
              <w:rPr>
                <w:rFonts w:ascii="Arial Narrow" w:hAnsi="Arial Narrow"/>
                <w:b/>
                <w:iCs/>
                <w:color w:val="000000"/>
              </w:rPr>
              <w:t xml:space="preserve"> č. 254/1998 Z. z.</w:t>
            </w:r>
            <w:r>
              <w:rPr>
                <w:rFonts w:ascii="Arial Narrow" w:hAnsi="Arial Narrow"/>
                <w:b/>
                <w:iCs/>
                <w:color w:val="000000"/>
              </w:rPr>
              <w:t xml:space="preserve"> o </w:t>
            </w:r>
            <w:r w:rsidRPr="00FA608C">
              <w:rPr>
                <w:rFonts w:ascii="Arial Narrow" w:hAnsi="Arial Narrow"/>
                <w:b/>
                <w:iCs/>
                <w:color w:val="000000"/>
              </w:rPr>
              <w:t>verejných prácach</w:t>
            </w:r>
            <w:r>
              <w:rPr>
                <w:rFonts w:ascii="Arial Narrow" w:hAnsi="Arial Narrow"/>
                <w:b/>
                <w:iCs/>
                <w:color w:val="000000"/>
              </w:rPr>
              <w:t xml:space="preserve"> v znení neskorších predpisov ku ktorým ešte ne</w:t>
            </w:r>
            <w:r w:rsidRPr="001F55DB">
              <w:rPr>
                <w:rFonts w:ascii="Arial Narrow" w:hAnsi="Arial Narrow"/>
                <w:b/>
                <w:iCs/>
                <w:color w:val="000000"/>
              </w:rPr>
              <w:t xml:space="preserve">existuje </w:t>
            </w:r>
            <w:r>
              <w:rPr>
                <w:rFonts w:ascii="Arial Narrow" w:hAnsi="Arial Narrow"/>
                <w:b/>
                <w:iCs/>
                <w:color w:val="000000"/>
              </w:rPr>
              <w:t>platná a účinná zmluva s dodávateľom / zhotoviteľom</w:t>
            </w:r>
            <w:r w:rsidRPr="001F55DB">
              <w:rPr>
                <w:rFonts w:ascii="Arial Narrow" w:hAnsi="Arial Narrow"/>
                <w:b/>
                <w:iCs/>
                <w:color w:val="000000"/>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823583" w:rsidRPr="000907A2" w:rsidRDefault="00E52E0E"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0907A2">
              <w:rPr>
                <w:rFonts w:ascii="Arial Narrow" w:hAnsi="Arial Narrow"/>
                <w:iCs/>
                <w:color w:val="000000"/>
              </w:rPr>
              <w:t xml:space="preserve">Odborný hodnotiteľ </w:t>
            </w:r>
            <w:r w:rsidRPr="00AC2877">
              <w:rPr>
                <w:rFonts w:ascii="Arial Narrow" w:hAnsi="Arial Narrow"/>
                <w:iCs/>
                <w:color w:val="000000"/>
              </w:rPr>
              <w:t xml:space="preserve">povinne aplikuje tento pomocný nástroj </w:t>
            </w:r>
            <w:r w:rsidRPr="000907A2">
              <w:rPr>
                <w:rFonts w:ascii="Arial Narrow" w:hAnsi="Arial Narrow"/>
                <w:iCs/>
                <w:color w:val="000000"/>
              </w:rPr>
              <w:t>na všetky výdavky rozpočtu projektu (ŽoNFP), ktoré spĺňajú chara</w:t>
            </w:r>
            <w:r w:rsidRPr="00AC2877">
              <w:rPr>
                <w:rFonts w:ascii="Arial Narrow" w:hAnsi="Arial Narrow"/>
                <w:iCs/>
                <w:color w:val="000000"/>
              </w:rPr>
              <w:t>k</w:t>
            </w:r>
            <w:r w:rsidRPr="000907A2">
              <w:rPr>
                <w:rFonts w:ascii="Arial Narrow" w:hAnsi="Arial Narrow"/>
                <w:iCs/>
                <w:color w:val="000000"/>
              </w:rPr>
              <w:t xml:space="preserve">ter “verejnej práce” </w:t>
            </w:r>
            <w:r w:rsidRPr="00AC2877">
              <w:rPr>
                <w:rFonts w:ascii="Arial Narrow" w:hAnsi="Arial Narrow"/>
                <w:iCs/>
                <w:color w:val="000000"/>
              </w:rPr>
              <w:t>v zmysle zákona č. 254/1998 Z. z. verejných prácach v znení neskorších predpisov a zároveň ku ktorým neexistuje platná a účinná zmluva s dodávateľom / zhotoviteľom</w:t>
            </w:r>
            <w:r w:rsidRPr="000907A2">
              <w:rPr>
                <w:rFonts w:ascii="Arial Narrow" w:hAnsi="Arial Narrow"/>
                <w:iCs/>
                <w:color w:val="000000"/>
              </w:rPr>
              <w:t>.</w:t>
            </w:r>
            <w:r w:rsidRPr="00AC2877">
              <w:rPr>
                <w:rFonts w:ascii="Arial Narrow" w:hAnsi="Arial Narrow"/>
                <w:iCs/>
                <w:color w:val="000000"/>
              </w:rPr>
              <w:t xml:space="preserve"> </w:t>
            </w:r>
            <w:r w:rsidRPr="000907A2">
              <w:rPr>
                <w:rFonts w:ascii="Arial Narrow" w:hAnsi="Arial Narrow"/>
                <w:iCs/>
                <w:color w:val="000000"/>
              </w:rPr>
              <w:t>Ak k nárokovaným výdavkom už existuje platná a účinná zmluva s dodávateľom / zhotoviteľom, tak sa namiesto tohto pomocného nástroja (expertízne posúdenie) použije pomocný nástroj verejné obstarávanie</w:t>
            </w:r>
            <w:r w:rsidR="00823583">
              <w:rPr>
                <w:rFonts w:ascii="Arial Narrow" w:hAnsi="Arial Narrow"/>
                <w:iCs/>
                <w:color w:val="000000"/>
              </w:rPr>
              <w:t xml:space="preserve"> za predpokladu, že p</w:t>
            </w:r>
            <w:r w:rsidR="00823583">
              <w:rPr>
                <w:rFonts w:ascii="Arial Narrow" w:hAnsi="Arial Narrow"/>
                <w:iCs/>
                <w:color w:val="000000"/>
                <w:lang w:val="sk-SK"/>
              </w:rPr>
              <w:t xml:space="preserve">ríslušné </w:t>
            </w:r>
            <w:r w:rsidR="00823583" w:rsidRPr="00B322D0">
              <w:rPr>
                <w:rFonts w:ascii="Arial Narrow" w:hAnsi="Arial Narrow"/>
                <w:iCs/>
                <w:color w:val="000000"/>
                <w:lang w:val="sk-SK"/>
              </w:rPr>
              <w:t>VO</w:t>
            </w:r>
            <w:r w:rsidR="00823583">
              <w:rPr>
                <w:rFonts w:ascii="Arial Narrow" w:hAnsi="Arial Narrow"/>
                <w:iCs/>
                <w:color w:val="000000"/>
                <w:lang w:val="sk-SK"/>
              </w:rPr>
              <w:t xml:space="preserve"> </w:t>
            </w:r>
            <w:r w:rsidR="00823583" w:rsidRPr="00B322D0">
              <w:rPr>
                <w:rFonts w:ascii="Arial Narrow" w:hAnsi="Arial Narrow"/>
                <w:iCs/>
                <w:color w:val="000000"/>
                <w:lang w:val="sk-SK"/>
              </w:rPr>
              <w:t>/ obstarávanie spĺňa podmienky uvedené v kap. č. 6 PkOV.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823583" w:rsidRDefault="00823583"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6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Na účely tejto príručky je verejnou prácou každá: </w:t>
            </w:r>
          </w:p>
          <w:p w:rsidR="00E52E0E" w:rsidRPr="00BC3A0F"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C3A0F">
              <w:rPr>
                <w:rFonts w:ascii="Arial Narrow" w:hAnsi="Arial Narrow"/>
                <w:iCs/>
                <w:color w:val="000000"/>
                <w:lang w:val="sk-SK"/>
              </w:rPr>
              <w:t>1. činnosť na prípravu a uskutočňovanie stavby alebo zmeny dokončenej stavby financovaná celkom alebo sčasti z verejných investícií,</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C3A0F">
              <w:rPr>
                <w:rFonts w:ascii="Arial Narrow" w:hAnsi="Arial Narrow"/>
                <w:iCs/>
                <w:color w:val="000000"/>
                <w:lang w:val="sk-SK"/>
              </w:rPr>
              <w:t>2. stavba financovaná celkom aleb</w:t>
            </w:r>
            <w:r>
              <w:rPr>
                <w:rFonts w:ascii="Arial Narrow" w:hAnsi="Arial Narrow"/>
                <w:iCs/>
                <w:color w:val="000000"/>
                <w:lang w:val="sk-SK"/>
              </w:rPr>
              <w:t>o sčasti z verejných investícií.</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 xml:space="preserve">Expertízne posúdenie </w:t>
            </w:r>
            <w:r>
              <w:rPr>
                <w:rFonts w:ascii="Arial Narrow" w:hAnsi="Arial Narrow"/>
                <w:iCs/>
                <w:color w:val="000000"/>
                <w:lang w:val="sk-SK"/>
              </w:rPr>
              <w:t>predstavuje stanovenie cien stavebných prác alebo cien za nákup pozemkov a nehnuteľností oprávneným orgánom alebo subjektom (t.j. vecne príslušným útvarom MDV SR zodpovedeným za vypracovanie štátnej expertízy nad verejnými prácami a vnútrorezortnej expertízy stavieb dopravnej infraštruktúry, znalcom).</w:t>
            </w:r>
            <w:r w:rsidR="00D52DA2">
              <w:rPr>
                <w:rFonts w:ascii="Arial Narrow" w:hAnsi="Arial Narrow"/>
                <w:iCs/>
                <w:color w:val="000000"/>
                <w:lang w:val="sk-SK"/>
              </w:rPr>
              <w:t xml:space="preserve"> </w:t>
            </w:r>
            <w:r w:rsidR="00D52DA2" w:rsidRPr="005C7E2F">
              <w:rPr>
                <w:rFonts w:ascii="Arial Narrow" w:hAnsi="Arial Narrow"/>
                <w:iCs/>
                <w:color w:val="000000"/>
                <w:lang w:val="sk-SK"/>
              </w:rPr>
              <w:t xml:space="preserve">V prípade existencie </w:t>
            </w:r>
            <w:r w:rsidR="00823583">
              <w:rPr>
                <w:rFonts w:ascii="Arial Narrow" w:hAnsi="Arial Narrow"/>
                <w:iCs/>
                <w:color w:val="000000"/>
                <w:lang w:val="sk-SK"/>
              </w:rPr>
              <w:t xml:space="preserve">odborného/ </w:t>
            </w:r>
            <w:r w:rsidR="00D52DA2" w:rsidRPr="005C7E2F">
              <w:rPr>
                <w:rFonts w:ascii="Arial Narrow" w:hAnsi="Arial Narrow"/>
                <w:iCs/>
                <w:color w:val="000000"/>
                <w:lang w:val="sk-SK"/>
              </w:rPr>
              <w:t>znaleckého posudku k výdavk</w:t>
            </w:r>
            <w:r w:rsidR="00823583">
              <w:rPr>
                <w:rFonts w:ascii="Arial Narrow" w:hAnsi="Arial Narrow"/>
                <w:iCs/>
                <w:color w:val="000000"/>
                <w:lang w:val="sk-SK"/>
              </w:rPr>
              <w:t>om ŽoNFP</w:t>
            </w:r>
            <w:r w:rsidR="00D52DA2" w:rsidRPr="005C7E2F">
              <w:rPr>
                <w:rFonts w:ascii="Arial Narrow" w:hAnsi="Arial Narrow"/>
                <w:iCs/>
                <w:color w:val="000000"/>
                <w:lang w:val="sk-SK"/>
              </w:rPr>
              <w:t xml:space="preserve"> pos</w:t>
            </w:r>
            <w:r w:rsidR="00D52DA2">
              <w:rPr>
                <w:rFonts w:ascii="Arial Narrow" w:hAnsi="Arial Narrow"/>
                <w:iCs/>
                <w:color w:val="000000"/>
                <w:lang w:val="sk-SK"/>
              </w:rPr>
              <w:t>ú</w:t>
            </w:r>
            <w:r w:rsidR="00D52DA2" w:rsidRPr="005C7E2F">
              <w:rPr>
                <w:rFonts w:ascii="Arial Narrow" w:hAnsi="Arial Narrow"/>
                <w:iCs/>
                <w:color w:val="000000"/>
                <w:lang w:val="sk-SK"/>
              </w:rPr>
              <w:t>d</w:t>
            </w:r>
            <w:r w:rsidR="00D52DA2">
              <w:rPr>
                <w:rFonts w:ascii="Arial Narrow" w:hAnsi="Arial Narrow"/>
                <w:iCs/>
                <w:color w:val="000000"/>
                <w:lang w:val="sk-SK"/>
              </w:rPr>
              <w:t>i</w:t>
            </w:r>
            <w:r w:rsidR="00D52DA2" w:rsidRPr="005C7E2F">
              <w:rPr>
                <w:rFonts w:ascii="Arial Narrow" w:hAnsi="Arial Narrow"/>
                <w:iCs/>
                <w:color w:val="000000"/>
                <w:lang w:val="sk-SK"/>
              </w:rPr>
              <w:t xml:space="preserve"> odborný hodnotiteľ hospodárnosť výdavku v zmysle písmena: „g) </w:t>
            </w:r>
            <w:r w:rsidR="00823583">
              <w:rPr>
                <w:rFonts w:ascii="Arial Narrow" w:hAnsi="Arial Narrow"/>
                <w:iCs/>
                <w:color w:val="000000"/>
                <w:lang w:val="sk-SK"/>
              </w:rPr>
              <w:t>O</w:t>
            </w:r>
            <w:r w:rsidR="00D52DA2" w:rsidRPr="005C7E2F">
              <w:rPr>
                <w:rFonts w:ascii="Arial Narrow" w:hAnsi="Arial Narrow"/>
                <w:iCs/>
                <w:color w:val="000000"/>
                <w:lang w:val="sk-SK"/>
              </w:rPr>
              <w:t>dborný posudok</w:t>
            </w:r>
            <w:r w:rsidR="00823583">
              <w:rPr>
                <w:rFonts w:ascii="Arial Narrow" w:hAnsi="Arial Narrow"/>
                <w:iCs/>
                <w:color w:val="000000"/>
                <w:lang w:val="sk-SK"/>
              </w:rPr>
              <w:t>/úkon znalca</w:t>
            </w:r>
            <w:r w:rsidR="00D52DA2" w:rsidRPr="005C7E2F">
              <w:rPr>
                <w:rFonts w:ascii="Arial Narrow" w:hAnsi="Arial Narrow"/>
                <w:iCs/>
                <w:color w:val="000000"/>
                <w:lang w:val="sk-SK"/>
              </w:rPr>
              <w:t>“ tohto postupu k spôsobu vyhodnocovania kritéria</w:t>
            </w:r>
            <w:r w:rsidR="00D52DA2">
              <w:rPr>
                <w:rFonts w:ascii="Arial Narrow" w:hAnsi="Arial Narrow"/>
                <w:iCs/>
                <w:color w:val="000000"/>
                <w:lang w:val="sk-SK"/>
              </w:rPr>
              <w:t xml:space="preserve"> </w:t>
            </w:r>
            <w:r w:rsidR="00D52DA2" w:rsidRPr="005C7E2F">
              <w:rPr>
                <w:rFonts w:ascii="Arial Narrow" w:hAnsi="Arial Narrow"/>
                <w:iCs/>
                <w:color w:val="000000"/>
                <w:lang w:val="sk-SK"/>
              </w:rPr>
              <w:t>Hospodárnosť a efektívnosť výdavkov projektu</w:t>
            </w:r>
            <w:r w:rsidR="00D52DA2">
              <w:rPr>
                <w:rFonts w:ascii="Arial Narrow" w:hAnsi="Arial Narrow"/>
                <w:iCs/>
                <w:color w:val="000000"/>
                <w:lang w:val="sk-SK"/>
              </w:rPr>
              <w:t xml:space="preserve"> a to aj v prípade, ak nebol výdavok za nákup pozemkov a nehnuteľností uvedený resp. ocenený v štátnej /rezortnej expertíze</w:t>
            </w:r>
            <w:r w:rsidR="00D52DA2" w:rsidRPr="005C7E2F">
              <w:rPr>
                <w:rFonts w:ascii="Arial Narrow" w:hAnsi="Arial Narrow"/>
                <w:iCs/>
                <w:color w:val="000000"/>
                <w:lang w:val="sk-SK"/>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Výstupom expertízneho posúdenia je protokol z vykonania štátnej, resp. rezortnej expertízy. </w:t>
            </w:r>
            <w:r w:rsidRPr="00F243CB">
              <w:rPr>
                <w:rFonts w:ascii="Arial Narrow" w:hAnsi="Arial Narrow"/>
                <w:iCs/>
                <w:color w:val="000000"/>
                <w:lang w:val="sk-SK"/>
              </w:rPr>
              <w:t>Cena uvedená v protokole je predpokladaná hodnota zákazky podľa osobitného predpisu</w:t>
            </w:r>
            <w:r>
              <w:rPr>
                <w:rFonts w:ascii="Arial Narrow" w:hAnsi="Arial Narrow"/>
                <w:iCs/>
                <w:color w:val="000000"/>
                <w:lang w:val="sk-SK"/>
              </w:rPr>
              <w:t xml:space="preserve"> (ZVO)</w:t>
            </w:r>
            <w:r w:rsidRPr="00F243CB">
              <w:rPr>
                <w:rFonts w:ascii="Arial Narrow" w:hAnsi="Arial Narrow"/>
                <w:iCs/>
                <w:color w:val="000000"/>
                <w:lang w:val="sk-SK"/>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Pri aplikácii tohto pomocného nástroja odborný hodnotiteľ overí, či výsledné s</w:t>
            </w:r>
            <w:r w:rsidRPr="00F243CB">
              <w:rPr>
                <w:rFonts w:ascii="Arial Narrow" w:hAnsi="Arial Narrow"/>
                <w:iCs/>
                <w:color w:val="000000"/>
                <w:lang w:val="sk-SK"/>
              </w:rPr>
              <w:t>umy nárokované žiadateľom v</w:t>
            </w:r>
            <w:r>
              <w:rPr>
                <w:rFonts w:ascii="Arial Narrow" w:hAnsi="Arial Narrow"/>
                <w:iCs/>
                <w:color w:val="000000"/>
                <w:lang w:val="sk-SK"/>
              </w:rPr>
              <w:t> rozpočte projektu (</w:t>
            </w:r>
            <w:r w:rsidRPr="00F243CB">
              <w:rPr>
                <w:rFonts w:ascii="Arial Narrow" w:hAnsi="Arial Narrow"/>
                <w:iCs/>
                <w:color w:val="000000"/>
                <w:lang w:val="sk-SK"/>
              </w:rPr>
              <w:t>ŽoNFP</w:t>
            </w:r>
            <w:r>
              <w:rPr>
                <w:rFonts w:ascii="Arial Narrow" w:hAnsi="Arial Narrow"/>
                <w:iCs/>
                <w:color w:val="000000"/>
                <w:lang w:val="sk-SK"/>
              </w:rPr>
              <w:t>)</w:t>
            </w:r>
            <w:r w:rsidRPr="00F243CB">
              <w:rPr>
                <w:rFonts w:ascii="Arial Narrow" w:hAnsi="Arial Narrow"/>
                <w:iCs/>
                <w:color w:val="000000"/>
                <w:lang w:val="sk-SK"/>
              </w:rPr>
              <w:t xml:space="preserve"> </w:t>
            </w:r>
            <w:r>
              <w:rPr>
                <w:rFonts w:ascii="Arial Narrow" w:hAnsi="Arial Narrow"/>
                <w:iCs/>
                <w:color w:val="000000"/>
                <w:lang w:val="sk-SK"/>
              </w:rPr>
              <w:t>neprekračujú</w:t>
            </w:r>
            <w:r w:rsidRPr="00F243CB">
              <w:rPr>
                <w:rFonts w:ascii="Arial Narrow" w:hAnsi="Arial Narrow"/>
                <w:iCs/>
                <w:color w:val="000000"/>
                <w:lang w:val="sk-SK"/>
              </w:rPr>
              <w:t xml:space="preserve"> </w:t>
            </w:r>
            <w:r>
              <w:rPr>
                <w:rFonts w:ascii="Arial Narrow" w:hAnsi="Arial Narrow"/>
                <w:iCs/>
                <w:color w:val="000000"/>
                <w:lang w:val="sk-SK"/>
              </w:rPr>
              <w:t xml:space="preserve">finálne </w:t>
            </w:r>
            <w:r w:rsidRPr="00F243CB">
              <w:rPr>
                <w:rFonts w:ascii="Arial Narrow" w:hAnsi="Arial Narrow"/>
                <w:iCs/>
                <w:color w:val="000000"/>
                <w:lang w:val="sk-SK"/>
              </w:rPr>
              <w:t>hodnoty príslušného protokolu zo štátnej</w:t>
            </w:r>
            <w:r>
              <w:rPr>
                <w:rFonts w:ascii="Arial Narrow" w:hAnsi="Arial Narrow"/>
                <w:iCs/>
                <w:color w:val="000000"/>
                <w:lang w:val="sk-SK"/>
              </w:rPr>
              <w:t xml:space="preserve"> / rezortnej</w:t>
            </w:r>
            <w:r w:rsidRPr="00F243CB">
              <w:rPr>
                <w:rFonts w:ascii="Arial Narrow" w:hAnsi="Arial Narrow"/>
                <w:iCs/>
                <w:color w:val="000000"/>
                <w:lang w:val="sk-SK"/>
              </w:rPr>
              <w:t xml:space="preserve"> expertízy</w:t>
            </w:r>
            <w:r>
              <w:rPr>
                <w:rFonts w:ascii="Arial Narrow" w:hAnsi="Arial Narrow"/>
                <w:iCs/>
                <w:color w:val="000000"/>
                <w:lang w:val="sk-SK"/>
              </w:rPr>
              <w:t xml:space="preserve"> (výsledky štátnej expertízy musia byť aktualizované do cenovej úrovne roku, v ktorom je predložená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 prípade verejných prác overí, či bolo vykonané</w:t>
            </w:r>
            <w:r w:rsidRPr="00BD2041">
              <w:rPr>
                <w:rFonts w:ascii="Arial Narrow" w:hAnsi="Arial Narrow"/>
                <w:iCs/>
                <w:color w:val="000000"/>
                <w:lang w:val="sk-SK"/>
              </w:rPr>
              <w:t xml:space="preserve"> </w:t>
            </w:r>
            <w:r>
              <w:rPr>
                <w:rFonts w:ascii="Arial Narrow" w:hAnsi="Arial Narrow"/>
                <w:iCs/>
                <w:color w:val="000000"/>
                <w:lang w:val="sk-SK"/>
              </w:rPr>
              <w:t>expertízne posúdenie</w:t>
            </w:r>
            <w:r w:rsidRPr="00BD2041">
              <w:rPr>
                <w:rFonts w:ascii="Arial Narrow" w:hAnsi="Arial Narrow"/>
                <w:iCs/>
                <w:color w:val="000000"/>
                <w:lang w:val="sk-SK"/>
              </w:rPr>
              <w:t xml:space="preserve"> na všetky relevantné rozpočtové položky</w:t>
            </w:r>
            <w:r>
              <w:rPr>
                <w:rFonts w:ascii="Arial Narrow" w:hAnsi="Arial Narrow"/>
                <w:iCs/>
                <w:color w:val="000000"/>
                <w:lang w:val="sk-SK"/>
              </w:rPr>
              <w:t xml:space="preserve"> projektu (ŽoNFP)</w:t>
            </w:r>
            <w:r w:rsidRPr="00BD2041">
              <w:rPr>
                <w:rFonts w:ascii="Arial Narrow" w:hAnsi="Arial Narrow"/>
                <w:iCs/>
                <w:color w:val="000000"/>
                <w:lang w:val="sk-SK"/>
              </w:rPr>
              <w:t xml:space="preserve">. Ak </w:t>
            </w:r>
            <w:r>
              <w:rPr>
                <w:rFonts w:ascii="Arial Narrow" w:hAnsi="Arial Narrow"/>
                <w:iCs/>
                <w:color w:val="000000"/>
                <w:lang w:val="sk-SK"/>
              </w:rPr>
              <w:t>cena nebola stanovená na základe expertízneho posúdenia</w:t>
            </w:r>
            <w:r w:rsidRPr="00BD2041">
              <w:rPr>
                <w:rFonts w:ascii="Arial Narrow" w:hAnsi="Arial Narrow"/>
                <w:iCs/>
                <w:color w:val="000000"/>
                <w:lang w:val="sk-SK"/>
              </w:rPr>
              <w:t xml:space="preserve"> minimálne na jednu </w:t>
            </w:r>
            <w:r>
              <w:rPr>
                <w:rFonts w:ascii="Arial Narrow" w:hAnsi="Arial Narrow"/>
                <w:iCs/>
                <w:color w:val="000000"/>
                <w:lang w:val="sk-SK"/>
              </w:rPr>
              <w:t xml:space="preserve">relevantnú </w:t>
            </w:r>
            <w:r w:rsidRPr="00BD2041">
              <w:rPr>
                <w:rFonts w:ascii="Arial Narrow" w:hAnsi="Arial Narrow"/>
                <w:iCs/>
                <w:color w:val="000000"/>
                <w:lang w:val="sk-SK"/>
              </w:rPr>
              <w:t>rozpočtovú položku, odborný  hodnotiteľ urobí dožiadanie</w:t>
            </w:r>
            <w:r w:rsidR="00D52DA2">
              <w:rPr>
                <w:rFonts w:ascii="Arial Narrow" w:hAnsi="Arial Narrow"/>
                <w:iCs/>
                <w:color w:val="000000"/>
                <w:lang w:val="sk-SK"/>
              </w:rPr>
              <w:t xml:space="preserve"> k spôsobu nacenenia a expertíznemu posúdeniu položky</w:t>
            </w:r>
            <w:r w:rsidRPr="00BD2041">
              <w:rPr>
                <w:rFonts w:ascii="Arial Narrow" w:hAnsi="Arial Narrow"/>
                <w:iCs/>
                <w:color w:val="000000"/>
                <w:lang w:val="sk-SK"/>
              </w:rPr>
              <w:t xml:space="preserve">. Ak napriek dožiadaniu </w:t>
            </w:r>
            <w:r>
              <w:rPr>
                <w:rFonts w:ascii="Arial Narrow" w:hAnsi="Arial Narrow"/>
                <w:iCs/>
                <w:color w:val="000000"/>
                <w:lang w:val="sk-SK"/>
              </w:rPr>
              <w:t>expertízne posúdenie</w:t>
            </w:r>
            <w:r w:rsidR="00D52DA2">
              <w:rPr>
                <w:rFonts w:ascii="Arial Narrow" w:hAnsi="Arial Narrow"/>
                <w:iCs/>
                <w:color w:val="000000"/>
                <w:lang w:val="sk-SK"/>
              </w:rPr>
              <w:t xml:space="preserve"> alebo </w:t>
            </w:r>
            <w:r w:rsidR="00823583">
              <w:rPr>
                <w:rFonts w:ascii="Arial Narrow" w:hAnsi="Arial Narrow"/>
                <w:iCs/>
                <w:color w:val="000000"/>
                <w:lang w:val="sk-SK"/>
              </w:rPr>
              <w:t>odborný/</w:t>
            </w:r>
            <w:r w:rsidR="00D52DA2">
              <w:rPr>
                <w:rFonts w:ascii="Arial Narrow" w:hAnsi="Arial Narrow"/>
                <w:iCs/>
                <w:color w:val="000000"/>
                <w:lang w:val="sk-SK"/>
              </w:rPr>
              <w:t>znalecký posudok</w:t>
            </w:r>
            <w:r w:rsidRPr="00BD2041">
              <w:rPr>
                <w:rFonts w:ascii="Arial Narrow" w:hAnsi="Arial Narrow"/>
                <w:iCs/>
                <w:color w:val="000000"/>
                <w:lang w:val="sk-SK"/>
              </w:rPr>
              <w:t xml:space="preserve"> </w:t>
            </w:r>
            <w:r>
              <w:rPr>
                <w:rFonts w:ascii="Arial Narrow" w:hAnsi="Arial Narrow"/>
                <w:iCs/>
                <w:color w:val="000000"/>
                <w:lang w:val="sk-SK"/>
              </w:rPr>
              <w:t xml:space="preserve">na predmetné rozpočtové položky </w:t>
            </w:r>
            <w:r w:rsidRPr="00BD2041">
              <w:rPr>
                <w:rFonts w:ascii="Arial Narrow" w:hAnsi="Arial Narrow"/>
                <w:iCs/>
                <w:color w:val="000000"/>
                <w:lang w:val="sk-SK"/>
              </w:rPr>
              <w:t xml:space="preserve">chýba, </w:t>
            </w:r>
            <w:r>
              <w:rPr>
                <w:rFonts w:ascii="Arial Narrow" w:hAnsi="Arial Narrow"/>
                <w:iCs/>
                <w:color w:val="000000"/>
                <w:lang w:val="sk-SK"/>
              </w:rPr>
              <w:t xml:space="preserve">tak </w:t>
            </w:r>
            <w:r w:rsidR="00D52DA2">
              <w:rPr>
                <w:rFonts w:ascii="Arial Narrow" w:hAnsi="Arial Narrow"/>
                <w:iCs/>
                <w:color w:val="000000"/>
                <w:lang w:val="sk-SK"/>
              </w:rPr>
              <w:t xml:space="preserve">odborný hodnotiteľ zníži požadovanú výšku NFP o danú položku. Pokiaľ </w:t>
            </w:r>
            <w:r w:rsidR="00503A31">
              <w:rPr>
                <w:rFonts w:ascii="Arial Narrow" w:hAnsi="Arial Narrow"/>
                <w:iCs/>
                <w:color w:val="000000"/>
                <w:lang w:val="sk-SK"/>
              </w:rPr>
              <w:t>odborný hodnotiteľ</w:t>
            </w:r>
            <w:r w:rsidR="00D52DA2">
              <w:rPr>
                <w:rFonts w:ascii="Arial Narrow" w:hAnsi="Arial Narrow"/>
                <w:iCs/>
                <w:color w:val="000000"/>
                <w:lang w:val="sk-SK"/>
              </w:rPr>
              <w:t xml:space="preserve"> zníži rozpočet projektu, tak opätovne vyhodnotí kritérium 2.1 </w:t>
            </w:r>
            <w:r w:rsidR="00D52DA2" w:rsidRPr="00BD2041">
              <w:rPr>
                <w:rFonts w:ascii="Arial Narrow" w:hAnsi="Arial Narrow"/>
                <w:color w:val="000000"/>
                <w:lang w:val="sk-SK"/>
              </w:rPr>
              <w:t>Vhodnosť a prepojenosť navrhovaných aktivít projektu vo vzťahu k východiskovej situácii a k stanoveným cieľom a výsledkom projektu</w:t>
            </w:r>
            <w:r w:rsidRPr="00BD2041">
              <w:rPr>
                <w:rFonts w:ascii="Arial Narrow" w:hAnsi="Arial Narrow"/>
                <w:iCs/>
                <w:color w:val="000000"/>
                <w:lang w:val="sk-SK"/>
              </w:rPr>
              <w:t xml:space="preserve">.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bolo expertízne posúdenie vykonané na všetky položky rozpočtu, ale sumy </w:t>
            </w:r>
            <w:r w:rsidRPr="00BD2041">
              <w:rPr>
                <w:rFonts w:ascii="Arial Narrow" w:hAnsi="Arial Narrow"/>
                <w:iCs/>
                <w:color w:val="000000"/>
                <w:lang w:val="sk-SK"/>
              </w:rPr>
              <w:t xml:space="preserve">uvedené v rozpočte projektu </w:t>
            </w:r>
            <w:r>
              <w:rPr>
                <w:rFonts w:ascii="Arial Narrow" w:hAnsi="Arial Narrow"/>
                <w:iCs/>
                <w:color w:val="000000"/>
                <w:lang w:val="sk-SK"/>
              </w:rPr>
              <w:t xml:space="preserve">(ŽoNFP) sú </w:t>
            </w:r>
            <w:r w:rsidRPr="00BD2041">
              <w:rPr>
                <w:rFonts w:ascii="Arial Narrow" w:hAnsi="Arial Narrow"/>
                <w:iCs/>
                <w:color w:val="000000"/>
                <w:lang w:val="sk-SK"/>
              </w:rPr>
              <w:t xml:space="preserve">vyššie ako </w:t>
            </w:r>
            <w:r>
              <w:rPr>
                <w:rFonts w:ascii="Arial Narrow" w:hAnsi="Arial Narrow"/>
                <w:iCs/>
                <w:color w:val="000000"/>
                <w:lang w:val="sk-SK"/>
              </w:rPr>
              <w:t>sumy</w:t>
            </w:r>
            <w:r w:rsidRPr="00BD2041">
              <w:rPr>
                <w:rFonts w:ascii="Arial Narrow" w:hAnsi="Arial Narrow"/>
                <w:iCs/>
                <w:color w:val="000000"/>
                <w:lang w:val="sk-SK"/>
              </w:rPr>
              <w:t xml:space="preserve"> uvedené v</w:t>
            </w:r>
            <w:r>
              <w:rPr>
                <w:rFonts w:ascii="Arial Narrow" w:hAnsi="Arial Narrow"/>
                <w:iCs/>
                <w:color w:val="000000"/>
                <w:lang w:val="sk-SK"/>
              </w:rPr>
              <w:t xml:space="preserve"> protokole zo štátnej/rezortnej expertízy, </w:t>
            </w:r>
            <w:r w:rsidRPr="00026D51">
              <w:rPr>
                <w:rFonts w:ascii="Arial Narrow" w:hAnsi="Arial Narrow"/>
                <w:iCs/>
                <w:color w:val="000000"/>
              </w:rPr>
              <w:t>tak odborný hodnotiteľ zníži túto položku na úroveň hodnôt uvedených v protokole zo štátnej/rezortnej expertízy a žiadosť postupuje do ďalšieho hodnotenia.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bolo expertízne posúdenie vykonané na všetky položky rozpočtu a sumy </w:t>
            </w:r>
            <w:r w:rsidRPr="00BD2041">
              <w:rPr>
                <w:rFonts w:ascii="Arial Narrow" w:hAnsi="Arial Narrow"/>
                <w:iCs/>
                <w:color w:val="000000"/>
                <w:lang w:val="sk-SK"/>
              </w:rPr>
              <w:t xml:space="preserve">uvedené v rozpočte projektu </w:t>
            </w:r>
            <w:r>
              <w:rPr>
                <w:rFonts w:ascii="Arial Narrow" w:hAnsi="Arial Narrow"/>
                <w:iCs/>
                <w:color w:val="000000"/>
                <w:lang w:val="sk-SK"/>
              </w:rPr>
              <w:t xml:space="preserve">(ŽoNFP) nie sú </w:t>
            </w:r>
            <w:r w:rsidRPr="00BD2041">
              <w:rPr>
                <w:rFonts w:ascii="Arial Narrow" w:hAnsi="Arial Narrow"/>
                <w:iCs/>
                <w:color w:val="000000"/>
                <w:lang w:val="sk-SK"/>
              </w:rPr>
              <w:t xml:space="preserve">vyššie ako </w:t>
            </w:r>
            <w:r>
              <w:rPr>
                <w:rFonts w:ascii="Arial Narrow" w:hAnsi="Arial Narrow"/>
                <w:iCs/>
                <w:color w:val="000000"/>
                <w:lang w:val="sk-SK"/>
              </w:rPr>
              <w:t>sumy</w:t>
            </w:r>
            <w:r w:rsidRPr="00BD2041">
              <w:rPr>
                <w:rFonts w:ascii="Arial Narrow" w:hAnsi="Arial Narrow"/>
                <w:iCs/>
                <w:color w:val="000000"/>
                <w:lang w:val="sk-SK"/>
              </w:rPr>
              <w:t xml:space="preserve"> uvedené v</w:t>
            </w:r>
            <w:r>
              <w:rPr>
                <w:rFonts w:ascii="Arial Narrow" w:hAnsi="Arial Narrow"/>
                <w:iCs/>
                <w:color w:val="000000"/>
                <w:lang w:val="sk-SK"/>
              </w:rPr>
              <w:t xml:space="preserve"> protokole zo štátnej/rezortnej expertízy, tak </w:t>
            </w:r>
            <w:r w:rsidRPr="00BD2041">
              <w:rPr>
                <w:rFonts w:ascii="Arial Narrow" w:hAnsi="Arial Narrow"/>
                <w:iCs/>
                <w:color w:val="000000"/>
                <w:lang w:val="sk-SK"/>
              </w:rPr>
              <w:t>žiadosť postupuje do ďalšieho hodnotenia.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sidRPr="00F243CB">
              <w:rPr>
                <w:rFonts w:ascii="Arial Narrow" w:hAnsi="Arial Narrow"/>
                <w:iCs/>
                <w:color w:val="000000"/>
                <w:lang w:val="sk-SK"/>
              </w:rPr>
              <w:t xml:space="preserve"> </w:t>
            </w:r>
            <w:r>
              <w:rPr>
                <w:rFonts w:ascii="Arial Narrow" w:hAnsi="Arial Narrow"/>
                <w:b/>
                <w:iCs/>
                <w:color w:val="000000"/>
                <w:lang w:val="sk-SK"/>
              </w:rPr>
              <w:t xml:space="preserve">f) </w:t>
            </w:r>
            <w:r w:rsidRPr="00C06253">
              <w:rPr>
                <w:rFonts w:ascii="Arial Narrow" w:hAnsi="Arial Narrow"/>
                <w:b/>
                <w:iCs/>
                <w:color w:val="000000"/>
                <w:lang w:val="sk-SK"/>
              </w:rPr>
              <w:t>Sadzobník</w:t>
            </w:r>
            <w:r>
              <w:rPr>
                <w:rFonts w:ascii="Arial Narrow" w:hAnsi="Arial Narrow"/>
                <w:b/>
                <w:iCs/>
                <w:color w:val="000000"/>
                <w:lang w:val="sk-SK"/>
              </w:rPr>
              <w:t>y</w:t>
            </w:r>
            <w:r w:rsidRPr="00C06253">
              <w:rPr>
                <w:rFonts w:ascii="Arial Narrow" w:hAnsi="Arial Narrow"/>
                <w:b/>
                <w:iCs/>
                <w:color w:val="000000"/>
                <w:lang w:val="sk-SK"/>
              </w:rPr>
              <w:t xml:space="preserve"> </w:t>
            </w:r>
            <w:r>
              <w:rPr>
                <w:rFonts w:ascii="Arial Narrow" w:hAnsi="Arial Narrow"/>
                <w:b/>
                <w:iCs/>
                <w:color w:val="000000"/>
                <w:lang w:val="sk-SK"/>
              </w:rPr>
              <w:t xml:space="preserve">UNIKA </w:t>
            </w:r>
            <w:r w:rsidRPr="00C06253">
              <w:rPr>
                <w:rFonts w:ascii="Arial Narrow" w:hAnsi="Arial Narrow"/>
                <w:b/>
                <w:iCs/>
                <w:color w:val="000000"/>
                <w:lang w:val="sk-SK"/>
              </w:rPr>
              <w:t>pre navrhovanie ponukových cien projektových prác a inžinierskych činnost</w:t>
            </w:r>
            <w:r>
              <w:rPr>
                <w:rFonts w:ascii="Arial Narrow" w:hAnsi="Arial Narrow"/>
                <w:b/>
                <w:iCs/>
                <w:color w:val="000000"/>
                <w:lang w:val="sk-SK"/>
              </w:rPr>
              <w:t xml:space="preserve">í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Ten</w:t>
            </w:r>
            <w:r>
              <w:rPr>
                <w:rFonts w:ascii="Arial Narrow" w:hAnsi="Arial Narrow"/>
                <w:iCs/>
                <w:color w:val="000000"/>
                <w:lang w:val="sk-SK"/>
              </w:rPr>
              <w:t xml:space="preserve">to pomocný nástroj je možné použiť výlučne na overenie hospodárnosti výdavkov projektu (ŽoNFP) </w:t>
            </w:r>
            <w:r w:rsidRPr="00AC2877">
              <w:rPr>
                <w:rFonts w:ascii="Arial Narrow" w:hAnsi="Arial Narrow"/>
                <w:iCs/>
                <w:color w:val="000000"/>
              </w:rPr>
              <w:t>spojen</w:t>
            </w:r>
            <w:r>
              <w:rPr>
                <w:rFonts w:ascii="Arial Narrow" w:hAnsi="Arial Narrow"/>
                <w:iCs/>
                <w:color w:val="000000"/>
                <w:lang w:val="sk-SK"/>
              </w:rPr>
              <w:t>ých</w:t>
            </w:r>
            <w:r w:rsidRPr="00AC2877">
              <w:rPr>
                <w:rFonts w:ascii="Arial Narrow" w:hAnsi="Arial Narrow"/>
                <w:iCs/>
                <w:color w:val="000000"/>
              </w:rPr>
              <w:t xml:space="preserve"> s vypracovaním projektovej dokumentácie</w:t>
            </w:r>
            <w:r>
              <w:rPr>
                <w:rFonts w:ascii="Arial Narrow" w:hAnsi="Arial Narrow"/>
                <w:iCs/>
                <w:color w:val="000000"/>
              </w:rPr>
              <w:t>,</w:t>
            </w:r>
            <w:r>
              <w:rPr>
                <w:rFonts w:ascii="Arial Narrow" w:hAnsi="Arial Narrow"/>
                <w:iCs/>
                <w:color w:val="000000"/>
                <w:lang w:val="sk-SK"/>
              </w:rPr>
              <w:t xml:space="preserve"> ku ktorým ešte neexistuje oficiálny výstup z expertízneho posúdenia. </w:t>
            </w:r>
            <w:r w:rsidRPr="00AC2877">
              <w:rPr>
                <w:rFonts w:ascii="Arial Narrow" w:hAnsi="Arial Narrow"/>
                <w:iCs/>
                <w:color w:val="000000"/>
              </w:rPr>
              <w:t xml:space="preserve">T.j. ak existuje platný protokol z vykonania </w:t>
            </w:r>
            <w:r>
              <w:rPr>
                <w:rFonts w:ascii="Arial Narrow" w:hAnsi="Arial Narrow"/>
                <w:iCs/>
                <w:color w:val="000000"/>
                <w:lang w:val="sk-SK"/>
              </w:rPr>
              <w:t>štátnej/rezortnej expertízy</w:t>
            </w:r>
            <w:r w:rsidRPr="00AC2877">
              <w:rPr>
                <w:rFonts w:ascii="Arial Narrow" w:hAnsi="Arial Narrow"/>
                <w:iCs/>
                <w:color w:val="000000"/>
              </w:rPr>
              <w:t>, tak sa na overenie hospodárnosti výdavkov</w:t>
            </w:r>
            <w:r>
              <w:rPr>
                <w:rFonts w:ascii="Arial Narrow" w:hAnsi="Arial Narrow"/>
                <w:iCs/>
                <w:color w:val="000000"/>
                <w:lang w:val="sk-SK"/>
              </w:rPr>
              <w:t xml:space="preserve"> </w:t>
            </w:r>
            <w:r w:rsidRPr="00AC2877">
              <w:rPr>
                <w:rFonts w:ascii="Arial Narrow" w:hAnsi="Arial Narrow"/>
                <w:iCs/>
                <w:color w:val="000000"/>
              </w:rPr>
              <w:t>príslušnej projektovej dokumentácie</w:t>
            </w:r>
            <w:r>
              <w:rPr>
                <w:rFonts w:ascii="Arial Narrow" w:hAnsi="Arial Narrow"/>
                <w:iCs/>
                <w:color w:val="000000"/>
                <w:lang w:val="sk-SK"/>
              </w:rPr>
              <w:t xml:space="preserve"> nepoužijú sadzobníky UNIKA, ale </w:t>
            </w:r>
            <w:r w:rsidRPr="00AC2877">
              <w:rPr>
                <w:rFonts w:ascii="Arial Narrow" w:hAnsi="Arial Narrow"/>
                <w:iCs/>
                <w:color w:val="000000"/>
              </w:rPr>
              <w:t>použije</w:t>
            </w:r>
            <w:r>
              <w:rPr>
                <w:rFonts w:ascii="Arial Narrow" w:hAnsi="Arial Narrow"/>
                <w:iCs/>
                <w:color w:val="000000"/>
                <w:lang w:val="sk-SK"/>
              </w:rPr>
              <w:t xml:space="preserve"> sa</w:t>
            </w:r>
            <w:r w:rsidRPr="00AC2877">
              <w:rPr>
                <w:rFonts w:ascii="Arial Narrow" w:hAnsi="Arial Narrow"/>
                <w:iCs/>
                <w:color w:val="000000"/>
              </w:rPr>
              <w:t xml:space="preserve"> pomocný nástroj expertízne posúdenie.</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Odborný hodnotiteľ</w:t>
            </w:r>
            <w:r w:rsidRPr="00AC2877">
              <w:rPr>
                <w:rFonts w:ascii="Arial Narrow" w:hAnsi="Arial Narrow"/>
                <w:iCs/>
                <w:color w:val="000000"/>
              </w:rPr>
              <w:t xml:space="preserve"> porovn</w:t>
            </w:r>
            <w:r>
              <w:rPr>
                <w:rFonts w:ascii="Arial Narrow" w:hAnsi="Arial Narrow"/>
                <w:iCs/>
                <w:color w:val="000000"/>
                <w:lang w:val="sk-SK"/>
              </w:rPr>
              <w:t>á</w:t>
            </w:r>
            <w:r w:rsidRPr="00AC2877">
              <w:rPr>
                <w:rFonts w:ascii="Arial Narrow" w:hAnsi="Arial Narrow"/>
                <w:iCs/>
                <w:color w:val="000000"/>
              </w:rPr>
              <w:t xml:space="preserve"> sumy vypočítan</w:t>
            </w:r>
            <w:r>
              <w:rPr>
                <w:rFonts w:ascii="Arial Narrow" w:hAnsi="Arial Narrow"/>
                <w:iCs/>
                <w:color w:val="000000"/>
                <w:lang w:val="sk-SK"/>
              </w:rPr>
              <w:t>é</w:t>
            </w:r>
            <w:r w:rsidRPr="00AC2877">
              <w:rPr>
                <w:rFonts w:ascii="Arial Narrow" w:hAnsi="Arial Narrow"/>
                <w:iCs/>
                <w:color w:val="000000"/>
              </w:rPr>
              <w:t xml:space="preserve"> a uveden</w:t>
            </w:r>
            <w:r>
              <w:rPr>
                <w:rFonts w:ascii="Arial Narrow" w:hAnsi="Arial Narrow"/>
                <w:iCs/>
                <w:color w:val="000000"/>
                <w:lang w:val="sk-SK"/>
              </w:rPr>
              <w:t>é</w:t>
            </w:r>
            <w:r w:rsidRPr="00AC2877">
              <w:rPr>
                <w:rFonts w:ascii="Arial Narrow" w:hAnsi="Arial Narrow"/>
                <w:iCs/>
                <w:color w:val="000000"/>
              </w:rPr>
              <w:t xml:space="preserve"> žiadateľom v ŽoNFP a vlastného výpočtu na základe údajov publikovaných v  dokumente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w:t>
            </w:r>
            <w:r w:rsidRPr="00026D51">
              <w:rPr>
                <w:rFonts w:ascii="Arial Narrow" w:hAnsi="Arial Narrow"/>
                <w:iCs/>
                <w:color w:val="000000"/>
              </w:rPr>
              <w:t>odborným hodnotiteľom</w:t>
            </w:r>
            <w:r w:rsidRPr="00AC2877">
              <w:rPr>
                <w:rFonts w:ascii="Arial Narrow" w:hAnsi="Arial Narrow"/>
                <w:iCs/>
                <w:color w:val="000000"/>
              </w:rPr>
              <w:t xml:space="preserve"> stanovenú hranicu, navrhne </w:t>
            </w:r>
            <w:r w:rsidRPr="00026D51">
              <w:rPr>
                <w:rFonts w:ascii="Arial Narrow" w:hAnsi="Arial Narrow"/>
                <w:iCs/>
                <w:color w:val="000000"/>
              </w:rPr>
              <w:t xml:space="preserve">odborný hodnotiteľ </w:t>
            </w:r>
            <w:r w:rsidRPr="00AC2877">
              <w:rPr>
                <w:rFonts w:ascii="Arial Narrow" w:hAnsi="Arial Narrow"/>
                <w:iCs/>
                <w:color w:val="000000"/>
              </w:rPr>
              <w:t xml:space="preserve">v rámci hodnotenia zníženie NFP. </w:t>
            </w:r>
            <w:r w:rsidRPr="00026D51">
              <w:rPr>
                <w:rFonts w:ascii="Arial Narrow" w:hAnsi="Arial Narrow"/>
                <w:iCs/>
                <w:color w:val="000000"/>
              </w:rPr>
              <w:t>Odborný hodnotiteľ</w:t>
            </w:r>
            <w:r w:rsidRPr="00AC2877">
              <w:rPr>
                <w:rFonts w:ascii="Arial Narrow" w:hAnsi="Arial Narrow"/>
                <w:iCs/>
                <w:color w:val="000000"/>
              </w:rPr>
              <w:t xml:space="preserve"> </w:t>
            </w:r>
            <w:r>
              <w:rPr>
                <w:rFonts w:ascii="Arial Narrow" w:hAnsi="Arial Narrow"/>
                <w:iCs/>
                <w:color w:val="000000"/>
              </w:rPr>
              <w:t>povinne odovzdá RO na</w:t>
            </w:r>
            <w:r w:rsidRPr="00AC2877">
              <w:rPr>
                <w:rFonts w:ascii="Arial Narrow" w:hAnsi="Arial Narrow"/>
                <w:iCs/>
                <w:color w:val="000000"/>
              </w:rPr>
              <w:t xml:space="preserve"> archiv</w:t>
            </w:r>
            <w:r>
              <w:rPr>
                <w:rFonts w:ascii="Arial Narrow" w:hAnsi="Arial Narrow"/>
                <w:iCs/>
                <w:color w:val="000000"/>
              </w:rPr>
              <w:t>áciu</w:t>
            </w:r>
            <w:r w:rsidRPr="00AC2877">
              <w:rPr>
                <w:rFonts w:ascii="Arial Narrow" w:hAnsi="Arial Narrow"/>
                <w:iCs/>
                <w:color w:val="000000"/>
              </w:rPr>
              <w:t xml:space="preserve"> kontrolný výpočet maximálnej sumy za aktivitu a jej porovnanie s výškou nákladov definovanou žiadateľom v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w:t>
            </w:r>
            <w:r w:rsidRPr="00AC2877">
              <w:rPr>
                <w:rFonts w:ascii="Arial Narrow" w:hAnsi="Arial Narrow"/>
                <w:iCs/>
                <w:color w:val="000000"/>
              </w:rPr>
              <w:t xml:space="preserve"> prípade, ak nebola doposiaľ vypracovaná expertíza a predpokladané investičné náklady sú vyššie ako tie, s ktorými uvažuje UNIKA, t.j. nad 100 mil. EUR</w:t>
            </w:r>
            <w:r>
              <w:rPr>
                <w:rFonts w:ascii="Arial Narrow" w:hAnsi="Arial Narrow"/>
                <w:iCs/>
                <w:color w:val="000000"/>
                <w:lang w:val="sk-SK"/>
              </w:rPr>
              <w:t>, tak odborný hodnotiteľ</w:t>
            </w:r>
            <w:r w:rsidRPr="00AC2877">
              <w:rPr>
                <w:rFonts w:ascii="Arial Narrow" w:hAnsi="Arial Narrow"/>
                <w:iCs/>
                <w:color w:val="000000"/>
              </w:rPr>
              <w:t xml:space="preserve"> porovn</w:t>
            </w:r>
            <w:r>
              <w:rPr>
                <w:rFonts w:ascii="Arial Narrow" w:hAnsi="Arial Narrow"/>
                <w:iCs/>
                <w:color w:val="000000"/>
                <w:lang w:val="sk-SK"/>
              </w:rPr>
              <w:t>á</w:t>
            </w:r>
            <w:r w:rsidRPr="00AC2877">
              <w:rPr>
                <w:rFonts w:ascii="Arial Narrow" w:hAnsi="Arial Narrow"/>
                <w:iCs/>
                <w:color w:val="000000"/>
              </w:rPr>
              <w:t xml:space="preserve"> sumy vypočítan</w:t>
            </w:r>
            <w:r>
              <w:rPr>
                <w:rFonts w:ascii="Arial Narrow" w:hAnsi="Arial Narrow"/>
                <w:iCs/>
                <w:color w:val="000000"/>
                <w:lang w:val="sk-SK"/>
              </w:rPr>
              <w:t>é</w:t>
            </w:r>
            <w:r w:rsidRPr="00AC2877">
              <w:rPr>
                <w:rFonts w:ascii="Arial Narrow" w:hAnsi="Arial Narrow"/>
                <w:iCs/>
                <w:color w:val="000000"/>
              </w:rPr>
              <w:t xml:space="preserve"> a uveden</w:t>
            </w:r>
            <w:r>
              <w:rPr>
                <w:rFonts w:ascii="Arial Narrow" w:hAnsi="Arial Narrow"/>
                <w:iCs/>
                <w:color w:val="000000"/>
                <w:lang w:val="sk-SK"/>
              </w:rPr>
              <w:t>é</w:t>
            </w:r>
            <w:r w:rsidRPr="00AC2877">
              <w:rPr>
                <w:rFonts w:ascii="Arial Narrow" w:hAnsi="Arial Narrow"/>
                <w:iCs/>
                <w:color w:val="000000"/>
              </w:rPr>
              <w:t xml:space="preserve"> žiadateľom v ŽoNFP a výšky výdavkov na projektovú dokumentáciu pre podobné projekty, pri ktorých je skutočná cena projektovej dokumentácie už známa</w:t>
            </w:r>
            <w:r>
              <w:rPr>
                <w:rFonts w:ascii="Arial Narrow" w:hAnsi="Arial Narrow"/>
                <w:iCs/>
                <w:color w:val="000000"/>
                <w:lang w:val="sk-SK"/>
              </w:rPr>
              <w:t xml:space="preserve"> (t.j. použije pomocný nástroj – historickú analýzu cien)</w:t>
            </w:r>
            <w:r w:rsidRPr="00AC2877">
              <w:rPr>
                <w:rFonts w:ascii="Arial Narrow" w:hAnsi="Arial Narrow"/>
                <w:iCs/>
                <w:color w:val="000000"/>
              </w:rPr>
              <w:t xml:space="preserve">. </w:t>
            </w:r>
            <w:r w:rsidRPr="00026D51">
              <w:rPr>
                <w:rFonts w:ascii="Arial Narrow" w:hAnsi="Arial Narrow"/>
                <w:iCs/>
                <w:color w:val="000000"/>
              </w:rPr>
              <w:t>Odborný hodnotiteľ</w:t>
            </w:r>
            <w:r w:rsidRPr="00AC2877">
              <w:rPr>
                <w:rFonts w:ascii="Arial Narrow" w:hAnsi="Arial Narrow"/>
                <w:iCs/>
                <w:color w:val="000000"/>
              </w:rPr>
              <w:t xml:space="preserve"> </w:t>
            </w:r>
            <w:r>
              <w:rPr>
                <w:rFonts w:ascii="Arial Narrow" w:hAnsi="Arial Narrow"/>
                <w:iCs/>
                <w:color w:val="000000"/>
              </w:rPr>
              <w:t>povinne odovzdá RO na a</w:t>
            </w:r>
            <w:r w:rsidRPr="00AC2877">
              <w:rPr>
                <w:rFonts w:ascii="Arial Narrow" w:hAnsi="Arial Narrow"/>
                <w:iCs/>
                <w:color w:val="000000"/>
              </w:rPr>
              <w:t>rchi</w:t>
            </w:r>
            <w:r>
              <w:rPr>
                <w:rFonts w:ascii="Arial Narrow" w:hAnsi="Arial Narrow"/>
                <w:iCs/>
                <w:color w:val="000000"/>
              </w:rPr>
              <w:t>váciu</w:t>
            </w:r>
            <w:r w:rsidRPr="00AC2877">
              <w:rPr>
                <w:rFonts w:ascii="Arial Narrow" w:hAnsi="Arial Narrow"/>
                <w:iCs/>
                <w:color w:val="000000"/>
              </w:rPr>
              <w:t xml:space="preserve"> porovnanie výšky nákladov na projektovú dokumentáciu v ŽoNFP s nákladmi v iných projektoch.</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g) </w:t>
            </w:r>
            <w:r w:rsidR="00823583">
              <w:rPr>
                <w:rFonts w:ascii="Arial Narrow" w:hAnsi="Arial Narrow"/>
                <w:b/>
                <w:iCs/>
                <w:color w:val="000000"/>
              </w:rPr>
              <w:t xml:space="preserve">Odborný </w:t>
            </w:r>
            <w:r w:rsidR="00823583" w:rsidRPr="009415B9">
              <w:rPr>
                <w:rFonts w:ascii="Arial Narrow" w:hAnsi="Arial Narrow"/>
                <w:b/>
                <w:iCs/>
                <w:color w:val="000000"/>
              </w:rPr>
              <w:t>posudok</w:t>
            </w:r>
            <w:r w:rsidR="00823583">
              <w:rPr>
                <w:rFonts w:ascii="Arial Narrow" w:hAnsi="Arial Narrow"/>
                <w:b/>
                <w:iCs/>
                <w:color w:val="000000"/>
              </w:rPr>
              <w:t>/úkon znalca</w:t>
            </w:r>
            <w:r w:rsidR="00823583">
              <w:rPr>
                <w:rFonts w:ascii="Arial Narrow" w:hAnsi="Arial Narrow"/>
                <w:b/>
                <w:iCs/>
                <w:color w:val="000000"/>
                <w:lang w:val="sk-SK"/>
              </w:rPr>
              <w:t xml:space="preserve"> – </w:t>
            </w:r>
            <w:r w:rsidR="00823583">
              <w:rPr>
                <w:rFonts w:ascii="Arial Narrow" w:hAnsi="Arial Narrow"/>
                <w:iCs/>
                <w:color w:val="000000"/>
                <w:lang w:val="sk-SK"/>
              </w:rPr>
              <w:t>v konaní o ŽoNFP</w:t>
            </w:r>
            <w:r w:rsidR="00823583" w:rsidRPr="00814531">
              <w:rPr>
                <w:rFonts w:ascii="Arial Narrow" w:hAnsi="Arial Narrow"/>
                <w:iCs/>
                <w:color w:val="000000"/>
                <w:lang w:val="sk-SK"/>
              </w:rPr>
              <w:t xml:space="preserve"> je možné zo strany žiadateľa</w:t>
            </w:r>
            <w:r w:rsidR="00823583">
              <w:rPr>
                <w:rFonts w:ascii="Arial Narrow" w:hAnsi="Arial Narrow"/>
                <w:iCs/>
                <w:color w:val="000000"/>
                <w:lang w:val="sk-SK"/>
              </w:rPr>
              <w:t xml:space="preserve"> /</w:t>
            </w:r>
            <w:r w:rsidR="00823583" w:rsidRPr="00814531">
              <w:rPr>
                <w:rFonts w:ascii="Arial Narrow" w:hAnsi="Arial Narrow"/>
                <w:iCs/>
                <w:color w:val="000000"/>
                <w:lang w:val="sk-SK"/>
              </w:rPr>
              <w:t xml:space="preserve"> RO</w:t>
            </w:r>
            <w:r w:rsidR="00823583">
              <w:rPr>
                <w:rFonts w:ascii="Arial Narrow" w:hAnsi="Arial Narrow"/>
                <w:iCs/>
                <w:color w:val="000000"/>
                <w:lang w:val="sk-SK"/>
              </w:rPr>
              <w:t xml:space="preserve"> / OH</w:t>
            </w:r>
            <w:r w:rsidR="00823583" w:rsidRPr="00814531">
              <w:rPr>
                <w:rFonts w:ascii="Arial Narrow" w:hAnsi="Arial Narrow"/>
                <w:iCs/>
                <w:color w:val="000000"/>
                <w:lang w:val="sk-SK"/>
              </w:rPr>
              <w:t xml:space="preserve">  preukázať hospodárnosť výdavkov úkonom znalca podľa zákona č. 382/2004 Z. z. o znalcoch, tlmočníkoch a prekladateľoch a o zmene a doplnení niektorých zákonov v znení neskorších predpisov alebo odborným posudkom vypracovaným odborníkom v príslušnej oblasti, prípadne štátnou expertízou podľa zákona č.  254/1998 Z. z. o verejných prácach v znení neskorších predpisov</w:t>
            </w:r>
            <w:r w:rsidR="00823583">
              <w:rPr>
                <w:rFonts w:ascii="Arial Narrow" w:hAnsi="Arial Narrow"/>
                <w:iCs/>
                <w:color w:val="000000"/>
                <w:lang w:val="sk-SK"/>
              </w:rPr>
              <w:t>, resp. rezortnou expertízou</w:t>
            </w:r>
            <w:r w:rsidR="00823583" w:rsidRPr="00814531">
              <w:rPr>
                <w:rFonts w:ascii="Arial Narrow" w:hAnsi="Arial Narrow"/>
                <w:iCs/>
                <w:color w:val="000000"/>
                <w:lang w:val="sk-SK"/>
              </w:rPr>
              <w:t xml:space="preserve"> (</w:t>
            </w:r>
            <w:r w:rsidR="00823583">
              <w:rPr>
                <w:rFonts w:ascii="Arial Narrow" w:hAnsi="Arial Narrow"/>
                <w:iCs/>
                <w:color w:val="000000"/>
                <w:lang w:val="sk-SK"/>
              </w:rPr>
              <w:t>viď predošlé nástroje overovania hospodárnosti výdavkov</w:t>
            </w:r>
            <w:r w:rsidR="00823583" w:rsidRPr="00814531">
              <w:rPr>
                <w:rFonts w:ascii="Arial Narrow" w:hAnsi="Arial Narrow"/>
                <w:iCs/>
                <w:color w:val="000000"/>
                <w:lang w:val="sk-SK"/>
              </w:rPr>
              <w:t>)</w:t>
            </w:r>
            <w:r w:rsidR="00823583">
              <w:rPr>
                <w:rFonts w:ascii="Arial Narrow" w:hAnsi="Arial Narrow"/>
                <w:iCs/>
                <w:color w:val="000000"/>
                <w:lang w:val="sk-SK"/>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026D51">
              <w:rPr>
                <w:rFonts w:ascii="Arial Narrow" w:hAnsi="Arial Narrow"/>
                <w:iCs/>
                <w:color w:val="000000"/>
              </w:rPr>
              <w:t>Výdavky rozpočtu projektu (ŽoNFP), ktoré budú vyššie ako je hodnota výdavkov stanovená znaleckým alebo odborným posudkom,</w:t>
            </w:r>
            <w:r w:rsidRPr="00865793">
              <w:rPr>
                <w:rFonts w:ascii="Arial Narrow" w:hAnsi="Arial Narrow"/>
                <w:iCs/>
                <w:color w:val="000000"/>
                <w:lang w:val="sk-SK"/>
              </w:rPr>
              <w:t xml:space="preserve"> budú považované za neoprávnené (ak nie je v</w:t>
            </w:r>
            <w:r w:rsidR="00823583">
              <w:rPr>
                <w:rFonts w:ascii="Arial Narrow" w:hAnsi="Arial Narrow"/>
                <w:iCs/>
                <w:color w:val="000000"/>
                <w:lang w:val="sk-SK"/>
              </w:rPr>
              <w:t> </w:t>
            </w:r>
            <w:r>
              <w:rPr>
                <w:rFonts w:ascii="Arial Narrow" w:hAnsi="Arial Narrow"/>
                <w:iCs/>
                <w:color w:val="000000"/>
                <w:lang w:val="sk-SK"/>
              </w:rPr>
              <w:t>PkOV</w:t>
            </w:r>
            <w:r w:rsidR="00823583">
              <w:rPr>
                <w:rFonts w:ascii="Arial Narrow" w:hAnsi="Arial Narrow"/>
                <w:iCs/>
                <w:color w:val="000000"/>
                <w:lang w:val="sk-SK"/>
              </w:rPr>
              <w:t>, resp. v konkrétnom vyzvaní</w:t>
            </w:r>
            <w:r>
              <w:rPr>
                <w:rFonts w:ascii="Arial Narrow" w:hAnsi="Arial Narrow"/>
                <w:iCs/>
                <w:color w:val="000000"/>
                <w:lang w:val="sk-SK"/>
              </w:rPr>
              <w:t xml:space="preserve"> uvedené inak</w:t>
            </w:r>
            <w:r w:rsidRPr="00865793">
              <w:rPr>
                <w:rFonts w:ascii="Arial Narrow" w:hAnsi="Arial Narrow"/>
                <w:iCs/>
                <w:color w:val="000000"/>
                <w:lang w:val="sk-SK"/>
              </w:rPr>
              <w:t xml:space="preserve">). </w:t>
            </w:r>
            <w:r>
              <w:rPr>
                <w:rFonts w:ascii="Arial Narrow" w:hAnsi="Arial Narrow"/>
                <w:iCs/>
                <w:color w:val="000000"/>
                <w:lang w:val="sk-SK"/>
              </w:rPr>
              <w:t>Odborný hodnotiteľ</w:t>
            </w:r>
            <w:r w:rsidRPr="00865793">
              <w:rPr>
                <w:rFonts w:ascii="Arial Narrow" w:hAnsi="Arial Narrow"/>
                <w:iCs/>
                <w:color w:val="000000"/>
                <w:lang w:val="sk-SK"/>
              </w:rPr>
              <w:t xml:space="preserve"> v takom prípade zníži oprávnené výdavky projektu o časť výdavkov, ktoré boli identifikované ako neoprávnené z dôvodu prekročenia ceny stanovenej znaleckým</w:t>
            </w:r>
            <w:r>
              <w:rPr>
                <w:rFonts w:ascii="Arial Narrow" w:hAnsi="Arial Narrow"/>
                <w:iCs/>
                <w:color w:val="000000"/>
                <w:lang w:val="sk-SK"/>
              </w:rPr>
              <w:t>/odborným</w:t>
            </w:r>
            <w:r w:rsidRPr="00865793">
              <w:rPr>
                <w:rFonts w:ascii="Arial Narrow" w:hAnsi="Arial Narrow"/>
                <w:iCs/>
                <w:color w:val="000000"/>
                <w:lang w:val="sk-SK"/>
              </w:rPr>
              <w:t xml:space="preserve"> posudkom.</w:t>
            </w:r>
          </w:p>
          <w:p w:rsidR="00E52E0E" w:rsidRDefault="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Detailné pravidlá preukazovania hospodárnosti výdavkov formou odborného posudku, resp. úkonom znalca sú uvedené v kap. 6 PkOV.</w:t>
            </w:r>
          </w:p>
          <w:p w:rsidR="00823583" w:rsidRDefault="00823583" w:rsidP="007F42AC">
            <w:pPr>
              <w:spacing w:before="0" w:after="0" w:line="240" w:lineRule="auto"/>
              <w:ind w:left="0" w:firstLine="708"/>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h) </w:t>
            </w:r>
            <w:r w:rsidRPr="005F0539">
              <w:rPr>
                <w:rFonts w:ascii="Arial Narrow" w:hAnsi="Arial Narrow"/>
                <w:b/>
                <w:iCs/>
                <w:color w:val="000000"/>
                <w:lang w:val="sk-SK"/>
              </w:rPr>
              <w:t>Historická analýza cien</w:t>
            </w:r>
            <w:r>
              <w:rPr>
                <w:rFonts w:ascii="Arial Narrow" w:hAnsi="Arial Narrow"/>
                <w:iCs/>
                <w:color w:val="000000"/>
                <w:lang w:val="sk-SK"/>
              </w:rPr>
              <w:t xml:space="preserve"> </w:t>
            </w:r>
            <w:r w:rsidRPr="007A467B">
              <w:rPr>
                <w:rFonts w:ascii="Arial Narrow" w:hAnsi="Arial Narrow"/>
                <w:color w:val="000000"/>
              </w:rPr>
              <w:t xml:space="preserve">(aplikácia </w:t>
            </w:r>
            <w:r>
              <w:rPr>
                <w:rFonts w:ascii="Arial Narrow" w:hAnsi="Arial Narrow"/>
                <w:color w:val="000000"/>
              </w:rPr>
              <w:t xml:space="preserve">tohto </w:t>
            </w:r>
            <w:r w:rsidRPr="007A467B">
              <w:rPr>
                <w:rFonts w:ascii="Arial Narrow" w:hAnsi="Arial Narrow"/>
                <w:color w:val="000000"/>
              </w:rPr>
              <w:t>nástr</w:t>
            </w:r>
            <w:r>
              <w:rPr>
                <w:rFonts w:ascii="Arial Narrow" w:hAnsi="Arial Narrow"/>
                <w:color w:val="000000"/>
              </w:rPr>
              <w:t>oja</w:t>
            </w:r>
            <w:r w:rsidRPr="007A467B">
              <w:rPr>
                <w:rFonts w:ascii="Arial Narrow" w:hAnsi="Arial Narrow"/>
                <w:color w:val="000000"/>
              </w:rPr>
              <w:t xml:space="preserve"> podlieha ex-ante odsúhlaseniu RO OPII</w:t>
            </w:r>
            <w:r>
              <w:rPr>
                <w:rFonts w:ascii="Arial Narrow" w:hAnsi="Arial Narrow"/>
                <w:color w:val="000000"/>
              </w:rPr>
              <w:t xml:space="preserve"> z pozície </w:t>
            </w:r>
            <w:r w:rsidR="009D5BA7">
              <w:rPr>
                <w:rFonts w:ascii="Arial Narrow" w:hAnsi="Arial Narrow"/>
                <w:color w:val="000000"/>
              </w:rPr>
              <w:t>R</w:t>
            </w:r>
            <w:r>
              <w:rPr>
                <w:rFonts w:ascii="Arial Narrow" w:hAnsi="Arial Narrow"/>
                <w:color w:val="000000"/>
              </w:rPr>
              <w:t>PM OKRP</w:t>
            </w:r>
            <w:r w:rsidRPr="007A467B">
              <w:rPr>
                <w:rFonts w:ascii="Arial Narrow" w:hAnsi="Arial Narrow"/>
                <w:color w:val="000000"/>
              </w:rPr>
              <w:t>)</w:t>
            </w:r>
            <w:r>
              <w:rPr>
                <w:rFonts w:ascii="Arial Narrow" w:hAnsi="Arial Narrow"/>
                <w:color w:val="000000"/>
              </w:rPr>
              <w:t xml:space="preserve"> – tento pomocný nástroj </w:t>
            </w:r>
            <w:r>
              <w:rPr>
                <w:rFonts w:ascii="Arial Narrow" w:hAnsi="Arial Narrow"/>
                <w:iCs/>
                <w:color w:val="000000"/>
                <w:lang w:val="sk-SK"/>
              </w:rPr>
              <w:t>predstavuje porovnanie cien za poskytovanie služieb a dodávku tovarov v rámci:</w:t>
            </w:r>
          </w:p>
          <w:p w:rsidR="00E52E0E" w:rsidRPr="004530B2"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 </w:t>
            </w:r>
            <w:r w:rsidR="00D52DA2" w:rsidRPr="004530B2">
              <w:rPr>
                <w:rFonts w:ascii="Arial Narrow" w:hAnsi="Arial Narrow"/>
                <w:iCs/>
                <w:color w:val="000000"/>
              </w:rPr>
              <w:t>Databázy</w:t>
            </w:r>
            <w:r w:rsidRPr="004530B2">
              <w:rPr>
                <w:rFonts w:ascii="Arial Narrow" w:hAnsi="Arial Narrow"/>
                <w:iCs/>
                <w:color w:val="000000"/>
              </w:rPr>
              <w:t xml:space="preserve"> </w:t>
            </w:r>
            <w:r>
              <w:rPr>
                <w:rFonts w:ascii="Arial Narrow" w:hAnsi="Arial Narrow"/>
                <w:iCs/>
                <w:color w:val="000000"/>
              </w:rPr>
              <w:t xml:space="preserve">RO </w:t>
            </w:r>
            <w:r w:rsidRPr="004530B2">
              <w:rPr>
                <w:rFonts w:ascii="Arial Narrow" w:hAnsi="Arial Narrow"/>
                <w:iCs/>
                <w:color w:val="000000"/>
              </w:rPr>
              <w:t>o tovaroch, prácach alebo službách</w:t>
            </w:r>
            <w:r>
              <w:rPr>
                <w:rFonts w:ascii="Arial Narrow" w:hAnsi="Arial Narrow"/>
                <w:iCs/>
                <w:color w:val="000000"/>
              </w:rPr>
              <w:t xml:space="preserve"> (ak taká existuje), resp.</w:t>
            </w:r>
          </w:p>
          <w:p w:rsidR="00E52E0E" w:rsidRPr="004530B2"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 </w:t>
            </w:r>
            <w:r w:rsidR="00D52DA2" w:rsidRPr="004530B2">
              <w:rPr>
                <w:rFonts w:ascii="Arial Narrow" w:hAnsi="Arial Narrow"/>
                <w:iCs/>
                <w:color w:val="000000"/>
              </w:rPr>
              <w:t>Historických</w:t>
            </w:r>
            <w:r w:rsidRPr="004530B2">
              <w:rPr>
                <w:rFonts w:ascii="Arial Narrow" w:hAnsi="Arial Narrow"/>
                <w:iCs/>
                <w:color w:val="000000"/>
              </w:rPr>
              <w:t xml:space="preserve"> cien tovarov, prác a služieb v programovom období 2007-2013</w:t>
            </w:r>
            <w:r>
              <w:rPr>
                <w:rFonts w:ascii="Arial Narrow" w:hAnsi="Arial Narrow"/>
                <w:iCs/>
                <w:color w:val="000000"/>
              </w:rPr>
              <w:t xml:space="preserve"> a 2014-2020.</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7A467B"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V prípade, že odborný hodnotiteľ potrebuje využiť tento pomocný nástroj, tak kontaktuje RO a postupuje ďalej podľa jeho pokynov.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i) I</w:t>
            </w:r>
            <w:r w:rsidRPr="00AC2877">
              <w:rPr>
                <w:rFonts w:ascii="Arial Narrow" w:hAnsi="Arial Narrow"/>
                <w:b/>
                <w:iCs/>
                <w:color w:val="000000"/>
              </w:rPr>
              <w:t>né nástroje overenia hospodárnosti a efektívnosti výdavkov</w:t>
            </w:r>
            <w:r w:rsidRPr="00AC2877">
              <w:rPr>
                <w:rFonts w:ascii="Arial Narrow" w:hAnsi="Arial Narrow"/>
                <w:color w:val="000000"/>
              </w:rPr>
              <w:t xml:space="preserve"> (aplikácia </w:t>
            </w:r>
            <w:r>
              <w:rPr>
                <w:rFonts w:ascii="Arial Narrow" w:hAnsi="Arial Narrow"/>
                <w:color w:val="000000"/>
              </w:rPr>
              <w:t xml:space="preserve">tohto </w:t>
            </w:r>
            <w:r w:rsidRPr="00AC2877">
              <w:rPr>
                <w:rFonts w:ascii="Arial Narrow" w:hAnsi="Arial Narrow"/>
                <w:color w:val="000000"/>
              </w:rPr>
              <w:t>nástr</w:t>
            </w:r>
            <w:r>
              <w:rPr>
                <w:rFonts w:ascii="Arial Narrow" w:hAnsi="Arial Narrow"/>
                <w:color w:val="000000"/>
              </w:rPr>
              <w:t>oja</w:t>
            </w:r>
            <w:r w:rsidRPr="00AC2877">
              <w:rPr>
                <w:rFonts w:ascii="Arial Narrow" w:hAnsi="Arial Narrow"/>
                <w:color w:val="000000"/>
              </w:rPr>
              <w:t xml:space="preserve"> podlieha ex-ante odsúhlaseniu RO OPII).</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V odôvodnených prípadoch, a</w:t>
            </w:r>
            <w:r w:rsidRPr="00AC2877">
              <w:rPr>
                <w:rFonts w:ascii="Arial Narrow" w:hAnsi="Arial Narrow"/>
                <w:color w:val="000000"/>
              </w:rPr>
              <w:t xml:space="preserve">k </w:t>
            </w:r>
            <w:r>
              <w:rPr>
                <w:rFonts w:ascii="Arial Narrow" w:hAnsi="Arial Narrow"/>
                <w:color w:val="000000"/>
              </w:rPr>
              <w:t xml:space="preserve">zo strany odborného hodnotiteľa nie je možné, resp. účelné na overenie hospodárnosti a efektívnosti výdavkov projektu (ŽoNFP) použiť ani jeden z predchádzajúcich pomocných nástrojov, je možné použiť aj iné nástroje na overenie hospodárnosti a efektívnosti výdavkov, ktoré musia byť odsúhlasené pred ich použitím zo strany RO OPII z pozície </w:t>
            </w:r>
            <w:r w:rsidR="009D5BA7">
              <w:rPr>
                <w:rFonts w:ascii="Arial Narrow" w:hAnsi="Arial Narrow"/>
                <w:color w:val="000000"/>
              </w:rPr>
              <w:t>R</w:t>
            </w:r>
            <w:r>
              <w:rPr>
                <w:rFonts w:ascii="Arial Narrow" w:hAnsi="Arial Narrow"/>
                <w:color w:val="000000"/>
              </w:rPr>
              <w:t xml:space="preserve">PM OKRP. V prípade, že odborný hodnotiteľ potrebuje využiť túto možnosť, tak kontaktuje RO a postupuje ďalej podľa jeho pokynov.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41654D"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41654D">
              <w:rPr>
                <w:rFonts w:ascii="Arial Narrow" w:hAnsi="Arial Narrow"/>
                <w:b/>
                <w:iCs/>
                <w:color w:val="000000"/>
              </w:rPr>
              <w:t>Všeobecné pravidlá -</w:t>
            </w:r>
            <w:r w:rsidRPr="0041654D">
              <w:rPr>
                <w:rFonts w:ascii="Arial Narrow" w:hAnsi="Arial Narrow"/>
                <w:iCs/>
                <w:color w:val="000000"/>
                <w:lang w:val="sk-SK"/>
              </w:rPr>
              <w:t xml:space="preserve"> odborný hodnotiteľ v rámci vyhodnocovania tohto kritéria </w:t>
            </w:r>
            <w:r w:rsidRPr="0041654D">
              <w:rPr>
                <w:rFonts w:ascii="Arial Narrow" w:hAnsi="Arial Narrow"/>
                <w:iCs/>
                <w:color w:val="000000"/>
              </w:rPr>
              <w:t>overí správnosť vstupných údajov pre výpočet, ktoré sú uvedené v rozpočte projektu. Musí byť zohľadnená aj skutočnosť, či žiadateľ je, alebo nie je platcom DPH (t.j. či je DPH zákonne nárokovateľná na vrátenie alebo nie)</w:t>
            </w:r>
            <w:r w:rsidR="00E17E53">
              <w:rPr>
                <w:rFonts w:ascii="Arial Narrow" w:hAnsi="Arial Narrow"/>
                <w:iCs/>
                <w:color w:val="000000"/>
              </w:rPr>
              <w:t xml:space="preserve"> – detailné postupy posudzovania oprávnenosti DPH projektov OPII sú uvedené v kap. 2.10 PkOV.</w:t>
            </w:r>
            <w:r w:rsidRPr="0041654D">
              <w:rPr>
                <w:rFonts w:ascii="Arial Narrow" w:hAnsi="Arial Narrow"/>
                <w:iCs/>
                <w:color w:val="000000"/>
              </w:rPr>
              <w:t xml:space="preserve"> </w:t>
            </w:r>
          </w:p>
          <w:p w:rsidR="00474E18" w:rsidRPr="00A374BF" w:rsidRDefault="00474E18" w:rsidP="002D738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iCs/>
                <w:color w:val="000000"/>
                <w:lang w:val="sk-SK"/>
              </w:rPr>
            </w:pPr>
          </w:p>
          <w:p w:rsidR="00C759C8" w:rsidRPr="00A374BF"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b/>
                <w:iCs/>
                <w:color w:val="000000"/>
                <w:lang w:val="sk-SK"/>
              </w:rPr>
            </w:pPr>
            <w:r w:rsidRPr="00A374BF">
              <w:rPr>
                <w:rFonts w:ascii="Arial Narrow" w:hAnsi="Arial Narrow" w:cs="Calibri"/>
                <w:b/>
                <w:iCs/>
                <w:color w:val="000000"/>
              </w:rPr>
              <w:t>Pri posudzovaní hospodárnosti a efektívnosti výdavkov projektu sa berie do úvahy výška výdavkov projektu po ich prípadnom znížení odborným hodnotiteľom.</w:t>
            </w:r>
          </w:p>
          <w:p w:rsidR="00C759C8" w:rsidRPr="00A374BF"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lang w:val="sk-SK"/>
              </w:rPr>
            </w:pPr>
          </w:p>
          <w:p w:rsidR="007D7346" w:rsidRPr="0041654D" w:rsidRDefault="007D7346" w:rsidP="007D734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color w:val="000000"/>
                <w:lang w:val="sk-SK"/>
              </w:rPr>
            </w:pPr>
            <w:r w:rsidRPr="0041654D">
              <w:rPr>
                <w:rFonts w:ascii="Arial Narrow" w:hAnsi="Arial Narrow"/>
                <w:b/>
                <w:color w:val="000000"/>
                <w:lang w:val="sk-SK"/>
              </w:rPr>
              <w:t xml:space="preserve">Odborný hodnotiteľ v Hodnotiacom hárku odborného hodnotenia v časti Komentár zrozumiteľne popíše spôsob, informačné zdroje a nástroje, ktoré použil pri </w:t>
            </w:r>
            <w:r w:rsidRPr="0041654D">
              <w:rPr>
                <w:rFonts w:ascii="Arial Narrow" w:hAnsi="Arial Narrow"/>
                <w:b/>
                <w:color w:val="000000"/>
              </w:rPr>
              <w:t>hodnotení hospodárnosti vykázaných výdavkov a ich overovaní (napr. na základe princípu najnižšej ceny, prípadne trhovej ceny).</w:t>
            </w:r>
          </w:p>
          <w:p w:rsidR="00C759C8" w:rsidRPr="00A374BF" w:rsidRDefault="00C759C8"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lang w:val="sk-SK"/>
              </w:rPr>
            </w:pPr>
            <w:r w:rsidRPr="00A374BF">
              <w:rPr>
                <w:rFonts w:ascii="Arial Narrow" w:hAnsi="Arial Narrow" w:cs="Calibri"/>
                <w:b/>
              </w:rPr>
              <w:t>Odborný hodnotiteľ vždy zdôvodní svoju odpoveď „ÁNO“/„NIE” v Hodnotiacom hárku odborného hodnotenia</w:t>
            </w:r>
            <w:r w:rsidRPr="00A374BF">
              <w:rPr>
                <w:rFonts w:ascii="Arial Narrow" w:hAnsi="Arial Narrow" w:cs="Calibri"/>
              </w:rPr>
              <w:t xml:space="preserve"> </w:t>
            </w:r>
            <w:r w:rsidRPr="00A374BF">
              <w:rPr>
                <w:rFonts w:ascii="Arial Narrow" w:hAnsi="Arial Narrow" w:cs="Calibri"/>
                <w:b/>
              </w:rPr>
              <w:t>v časti Komentár a súčasne uvedie odkaz na dokument vrátane relevantnej časti</w:t>
            </w:r>
            <w:r w:rsidRPr="00A374BF">
              <w:rPr>
                <w:rFonts w:ascii="Arial Narrow" w:hAnsi="Arial Narrow" w:cs="Calibri"/>
              </w:rPr>
              <w:t xml:space="preserve">(ŽoNFP a relevantnej prílohy a pod.), na základe ktorej bolo vykonané hodnotenie. </w:t>
            </w:r>
          </w:p>
          <w:p w:rsidR="00C759C8" w:rsidRPr="00A374BF" w:rsidRDefault="00C759C8"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lang w:val="sk-SK"/>
              </w:rPr>
            </w:pPr>
            <w:r w:rsidRPr="00A374BF">
              <w:rPr>
                <w:rFonts w:ascii="Arial Narrow" w:hAnsi="Arial Narrow" w:cs="Calibri"/>
              </w:rPr>
              <w:t xml:space="preserve">Ak </w:t>
            </w:r>
            <w:r w:rsidRPr="00A374BF">
              <w:rPr>
                <w:rFonts w:ascii="Arial Narrow" w:hAnsi="Arial Narrow" w:cs="Calibri"/>
                <w:iCs/>
                <w:color w:val="000000"/>
              </w:rPr>
              <w:t>odborný</w:t>
            </w:r>
            <w:r w:rsidRPr="00A374BF">
              <w:rPr>
                <w:rFonts w:ascii="Arial Narrow" w:hAnsi="Arial Narrow" w:cs="Calibri"/>
              </w:rPr>
              <w:t xml:space="preserve"> hodnotiteľ identifikuje neoprávnené výdavky, je povinný konkrétne zdôvodniť</w:t>
            </w:r>
            <w:r w:rsidR="00474E18" w:rsidRPr="00A374BF">
              <w:rPr>
                <w:rFonts w:ascii="Arial Narrow" w:hAnsi="Arial Narrow" w:cs="Calibri"/>
              </w:rPr>
              <w:t>,</w:t>
            </w:r>
            <w:r w:rsidRPr="00A374BF">
              <w:rPr>
                <w:rFonts w:ascii="Arial Narrow" w:hAnsi="Arial Narrow" w:cs="Calibri"/>
              </w:rPr>
              <w:t xml:space="preserve"> prečo výdavky označil za neoprávnené.</w:t>
            </w:r>
          </w:p>
          <w:p w:rsidR="008C676C" w:rsidRPr="00A374BF" w:rsidRDefault="008C676C" w:rsidP="008C676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iCs/>
                <w:color w:val="000000"/>
                <w:lang w:val="sk-SK"/>
              </w:rPr>
            </w:pPr>
            <w:r w:rsidRPr="00A374BF">
              <w:rPr>
                <w:rFonts w:ascii="Arial Narrow" w:hAnsi="Arial Narrow" w:cs="Calibri"/>
                <w:color w:val="000000"/>
              </w:rPr>
              <w:t xml:space="preserve">Odborný hodnotiteľ </w:t>
            </w:r>
            <w:r w:rsidRPr="00A374BF">
              <w:rPr>
                <w:rFonts w:ascii="Arial Narrow" w:hAnsi="Arial Narrow" w:cs="Calibri"/>
                <w:b/>
                <w:color w:val="000000"/>
              </w:rPr>
              <w:t xml:space="preserve">uzná výdavky maximálne do výšky, ktoré zodpovedajú obvyklým cenám v danom mieste a čase </w:t>
            </w:r>
            <w:r w:rsidRPr="00A374BF">
              <w:rPr>
                <w:rFonts w:ascii="Arial Narrow" w:hAnsi="Arial Narrow" w:cs="Calibri"/>
                <w:color w:val="000000"/>
              </w:rPr>
              <w:t>(na základe nástrojov uvedených vyššie) a zodpovedajú obvyklým cenám</w:t>
            </w:r>
            <w:r w:rsidR="007D7346" w:rsidRPr="00A374BF">
              <w:rPr>
                <w:rFonts w:ascii="Arial Narrow" w:hAnsi="Arial Narrow" w:cs="Calibri"/>
                <w:color w:val="000000"/>
              </w:rPr>
              <w:t xml:space="preserve"> v danom mieste a čase</w:t>
            </w:r>
            <w:r w:rsidRPr="00A374BF">
              <w:rPr>
                <w:rFonts w:ascii="Arial Narrow" w:hAnsi="Arial Narrow" w:cs="Calibri"/>
                <w:iCs/>
                <w:color w:val="000000"/>
              </w:rPr>
              <w:t xml:space="preserve">. </w:t>
            </w:r>
          </w:p>
          <w:p w:rsidR="00C759C8" w:rsidRPr="00A374BF"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lang w:val="sk-SK"/>
              </w:rPr>
            </w:pPr>
          </w:p>
          <w:p w:rsidR="00474E18" w:rsidRPr="00A374BF" w:rsidRDefault="00474E18" w:rsidP="00474E1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lang w:val="sk-SK" w:eastAsia="sk-SK"/>
              </w:rPr>
            </w:pPr>
            <w:r w:rsidRPr="00A374BF">
              <w:rPr>
                <w:rFonts w:ascii="Arial Narrow" w:hAnsi="Arial Narrow" w:cs="Calibri"/>
                <w:color w:val="000000"/>
                <w:lang w:eastAsia="sk-SK"/>
              </w:rPr>
              <w:t>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w:t>
            </w:r>
          </w:p>
          <w:p w:rsidR="00474E18" w:rsidRPr="00A374BF" w:rsidRDefault="00474E18" w:rsidP="00474E1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lang w:val="sk-SK" w:eastAsia="sk-SK"/>
              </w:rPr>
            </w:pPr>
          </w:p>
          <w:p w:rsidR="00C759C8" w:rsidRPr="007C58E4" w:rsidRDefault="00474E18" w:rsidP="00D52DA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A374BF">
              <w:rPr>
                <w:rFonts w:ascii="Arial Narrow" w:hAnsi="Arial Narrow" w:cs="Calibri"/>
                <w:color w:val="000000"/>
                <w:lang w:eastAsia="sk-SK"/>
              </w:rPr>
              <w:t>Ak navrhnuté výdavky projektu spĺňajú podmienku hospodárnosti a efektívnosti a zodpovedajú obvyklým cenám v danom mieste a čase, odborný hodnotiteľ uvedie v hodnotiacom hárku odborného hodnotenia v časti Výsledok posúdenia „ÁNO“.</w:t>
            </w:r>
          </w:p>
        </w:tc>
      </w:tr>
      <w:tr w:rsidR="00C759C8" w:rsidRPr="007C58E4" w:rsidTr="000572BD">
        <w:trPr>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shd w:val="clear" w:color="auto" w:fill="auto"/>
          </w:tcPr>
          <w:p w:rsidR="00C759C8" w:rsidRPr="007C58E4" w:rsidRDefault="00C759C8" w:rsidP="003D7106">
            <w:pPr>
              <w:spacing w:before="0" w:after="0" w:line="240" w:lineRule="auto"/>
              <w:ind w:left="0" w:firstLine="0"/>
              <w:jc w:val="both"/>
              <w:rPr>
                <w:rFonts w:cs="Calibri"/>
                <w:lang w:val="sk-SK"/>
              </w:rPr>
            </w:pPr>
          </w:p>
        </w:tc>
        <w:tc>
          <w:tcPr>
            <w:tcW w:w="1272" w:type="dxa"/>
            <w:vMerge/>
            <w:shd w:val="clear" w:color="auto" w:fill="auto"/>
          </w:tcPr>
          <w:p w:rsidR="00C759C8" w:rsidRPr="007C58E4" w:rsidRDefault="00C759C8"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shd w:val="clear" w:color="auto" w:fill="auto"/>
            <w:vAlign w:val="center"/>
          </w:tcPr>
          <w:p w:rsidR="00C759C8" w:rsidRPr="007C58E4" w:rsidRDefault="00C759C8"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shd w:val="clear" w:color="auto" w:fill="auto"/>
            <w:vAlign w:val="center"/>
          </w:tcPr>
          <w:p w:rsidR="00C759C8" w:rsidRPr="007C58E4" w:rsidRDefault="00C759C8"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shd w:val="clear" w:color="auto" w:fill="auto"/>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44" w:type="dxa"/>
            <w:shd w:val="clear" w:color="auto" w:fill="auto"/>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color w:val="000000"/>
                <w:lang w:val="sk-SK"/>
              </w:rPr>
              <w:t>Áno</w:t>
            </w:r>
          </w:p>
        </w:tc>
        <w:tc>
          <w:tcPr>
            <w:tcW w:w="3127" w:type="dxa"/>
            <w:tcBorders>
              <w:right w:val="single" w:sz="4" w:space="0" w:color="808080" w:themeColor="background1" w:themeShade="80"/>
            </w:tcBorders>
            <w:shd w:val="clear" w:color="auto" w:fill="auto"/>
          </w:tcPr>
          <w:p w:rsidR="00C759C8" w:rsidRPr="007C58E4" w:rsidRDefault="00C759C8" w:rsidP="00474E1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r w:rsidRPr="007C58E4">
              <w:rPr>
                <w:rFonts w:cs="Calibri"/>
                <w:lang w:val="sk-SK"/>
              </w:rPr>
              <w:t xml:space="preserve">Žiadané výdavky </w:t>
            </w:r>
            <w:r w:rsidR="00722C1A" w:rsidRPr="007C58E4">
              <w:rPr>
                <w:rFonts w:cs="Calibri"/>
                <w:lang w:val="sk-SK"/>
              </w:rPr>
              <w:t xml:space="preserve">fázy II </w:t>
            </w:r>
            <w:r w:rsidRPr="007C58E4">
              <w:rPr>
                <w:rFonts w:cs="Calibri"/>
                <w:lang w:val="sk-SK"/>
              </w:rPr>
              <w:t xml:space="preserve">projektu </w:t>
            </w:r>
            <w:r w:rsidRPr="007C58E4">
              <w:rPr>
                <w:rFonts w:cs="Calibri"/>
                <w:b/>
                <w:lang w:val="sk-SK"/>
              </w:rPr>
              <w:t>sú hospodárne a efektívne</w:t>
            </w:r>
            <w:r w:rsidRPr="007C58E4">
              <w:rPr>
                <w:rFonts w:cs="Calibri"/>
                <w:lang w:val="sk-SK"/>
              </w:rPr>
              <w:t xml:space="preserve"> a zodpovedajú obvyklým cenám v danom čase a mieste</w:t>
            </w:r>
            <w:r w:rsidR="00F04E31" w:rsidRPr="007C58E4">
              <w:rPr>
                <w:rFonts w:cs="Calibri"/>
                <w:color w:val="000000"/>
                <w:lang w:val="sk-SK"/>
              </w:rPr>
              <w:t>,</w:t>
            </w:r>
          </w:p>
        </w:tc>
        <w:tc>
          <w:tcPr>
            <w:tcW w:w="4018" w:type="dxa"/>
            <w:vMerge/>
            <w:tcBorders>
              <w:left w:val="single" w:sz="4" w:space="0" w:color="808080" w:themeColor="background1" w:themeShade="80"/>
              <w:bottom w:val="single" w:sz="4" w:space="0" w:color="auto"/>
            </w:tcBorders>
            <w:shd w:val="clear" w:color="auto" w:fill="auto"/>
          </w:tcPr>
          <w:p w:rsidR="00C759C8" w:rsidRPr="007C58E4" w:rsidRDefault="00C759C8"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lang w:val="sk-SK" w:eastAsia="sk-SK"/>
              </w:rPr>
            </w:pPr>
          </w:p>
        </w:tc>
      </w:tr>
    </w:tbl>
    <w:p w:rsidR="003D7106" w:rsidRPr="007C58E4" w:rsidRDefault="003D7106" w:rsidP="003D7106">
      <w:pPr>
        <w:spacing w:before="0" w:after="130" w:line="240" w:lineRule="auto"/>
        <w:ind w:left="0" w:firstLine="0"/>
        <w:jc w:val="both"/>
        <w:rPr>
          <w:rFonts w:ascii="Arial Narrow" w:eastAsia="Times New Roman" w:hAnsi="Arial Narrow" w:cs="Times New Roman"/>
          <w:szCs w:val="20"/>
        </w:rPr>
      </w:pPr>
    </w:p>
    <w:p w:rsidR="00090CF1" w:rsidRDefault="001F1E12" w:rsidP="001F1E12">
      <w:pPr>
        <w:spacing w:before="0" w:after="200" w:line="276" w:lineRule="auto"/>
        <w:ind w:left="0" w:firstLine="0"/>
        <w:rPr>
          <w:rFonts w:ascii="Arial Narrow" w:eastAsia="Times New Roman" w:hAnsi="Arial Narrow" w:cs="Times New Roman"/>
          <w:b/>
          <w:bCs/>
          <w:color w:val="000000"/>
          <w:szCs w:val="20"/>
          <w:lang w:eastAsia="sk-SK"/>
        </w:rPr>
      </w:pPr>
      <w:r w:rsidRPr="007C58E4">
        <w:rPr>
          <w:rFonts w:ascii="Arial Narrow" w:eastAsia="Times New Roman" w:hAnsi="Arial Narrow" w:cs="Times New Roman"/>
          <w:b/>
          <w:bCs/>
          <w:color w:val="000000"/>
          <w:szCs w:val="20"/>
          <w:lang w:eastAsia="sk-SK"/>
        </w:rPr>
        <w:t xml:space="preserve">              </w:t>
      </w:r>
    </w:p>
    <w:p w:rsidR="00090CF1" w:rsidRDefault="00090CF1" w:rsidP="001F1E12">
      <w:pPr>
        <w:spacing w:before="0" w:after="200" w:line="276" w:lineRule="auto"/>
        <w:ind w:left="0" w:firstLine="0"/>
        <w:rPr>
          <w:rFonts w:ascii="Arial Narrow" w:eastAsia="Times New Roman" w:hAnsi="Arial Narrow" w:cs="Times New Roman"/>
          <w:b/>
          <w:bCs/>
          <w:color w:val="000000"/>
          <w:szCs w:val="20"/>
          <w:lang w:eastAsia="sk-SK"/>
        </w:rPr>
      </w:pPr>
    </w:p>
    <w:p w:rsidR="003D7106" w:rsidRPr="007C58E4" w:rsidRDefault="001F1E12" w:rsidP="005E4692">
      <w:pPr>
        <w:spacing w:before="0" w:after="200" w:line="276" w:lineRule="auto"/>
        <w:ind w:left="708" w:firstLine="0"/>
        <w:rPr>
          <w:rFonts w:ascii="Arial Narrow" w:eastAsia="Times New Roman" w:hAnsi="Arial Narrow" w:cs="Times New Roman"/>
          <w:b/>
          <w:bCs/>
          <w:color w:val="000000"/>
          <w:szCs w:val="20"/>
          <w:lang w:eastAsia="sk-SK"/>
        </w:rPr>
      </w:pPr>
      <w:r w:rsidRPr="007C58E4">
        <w:rPr>
          <w:rFonts w:ascii="Arial Narrow" w:eastAsia="Times New Roman" w:hAnsi="Arial Narrow" w:cs="Times New Roman"/>
          <w:b/>
          <w:bCs/>
          <w:color w:val="000000"/>
          <w:szCs w:val="20"/>
          <w:lang w:eastAsia="sk-SK"/>
        </w:rPr>
        <w:t xml:space="preserve"> </w:t>
      </w:r>
      <w:r w:rsidR="005E4692">
        <w:rPr>
          <w:rFonts w:ascii="Arial Narrow" w:eastAsia="Times New Roman" w:hAnsi="Arial Narrow" w:cs="Times New Roman"/>
          <w:b/>
          <w:bCs/>
          <w:color w:val="000000"/>
          <w:szCs w:val="20"/>
          <w:lang w:eastAsia="sk-SK"/>
        </w:rPr>
        <w:br/>
      </w:r>
      <w:r w:rsidR="003D7106" w:rsidRPr="007C58E4">
        <w:rPr>
          <w:rFonts w:eastAsia="Times New Roman" w:cs="Calibri"/>
          <w:b/>
          <w:bCs/>
          <w:color w:val="000000"/>
          <w:szCs w:val="20"/>
          <w:lang w:eastAsia="sk-SK"/>
        </w:rPr>
        <w:t>Sumarizačný prehľad hodnotiacich kritérií pre národné a veľké projekty OPII</w:t>
      </w:r>
    </w:p>
    <w:tbl>
      <w:tblPr>
        <w:tblStyle w:val="Deloittetable31"/>
        <w:tblW w:w="0" w:type="auto"/>
        <w:tblInd w:w="737" w:type="dxa"/>
        <w:tblLook w:val="04A0" w:firstRow="1" w:lastRow="0" w:firstColumn="1" w:lastColumn="0" w:noHBand="0" w:noVBand="1"/>
      </w:tblPr>
      <w:tblGrid>
        <w:gridCol w:w="4820"/>
        <w:gridCol w:w="6387"/>
        <w:gridCol w:w="1551"/>
        <w:gridCol w:w="1730"/>
      </w:tblGrid>
      <w:tr w:rsidR="003D7106" w:rsidRPr="007C58E4" w:rsidTr="00C759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rsidR="003D7106" w:rsidRPr="007C58E4" w:rsidRDefault="00C759C8" w:rsidP="00C759C8">
            <w:pPr>
              <w:spacing w:before="0" w:after="0" w:line="240" w:lineRule="auto"/>
              <w:ind w:left="0" w:firstLine="0"/>
              <w:rPr>
                <w:rFonts w:cs="Calibri"/>
                <w:lang w:val="sk-SK"/>
              </w:rPr>
            </w:pPr>
            <w:r w:rsidRPr="007C58E4">
              <w:rPr>
                <w:rFonts w:cs="Calibri"/>
                <w:bCs/>
                <w:lang w:val="sk-SK" w:eastAsia="sk-SK"/>
              </w:rPr>
              <w:t>H</w:t>
            </w:r>
            <w:r w:rsidR="003D7106" w:rsidRPr="007C58E4">
              <w:rPr>
                <w:rFonts w:cs="Calibri"/>
                <w:bCs/>
                <w:lang w:val="sk-SK" w:eastAsia="sk-SK"/>
              </w:rPr>
              <w:t>odnotené oblasti</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rsidR="003D7106" w:rsidRPr="007C58E4" w:rsidRDefault="00C759C8" w:rsidP="00C759C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H</w:t>
            </w:r>
            <w:r w:rsidR="003D7106" w:rsidRPr="007C58E4">
              <w:rPr>
                <w:rFonts w:cs="Calibri"/>
                <w:bCs/>
                <w:lang w:val="sk-SK" w:eastAsia="sk-SK"/>
              </w:rPr>
              <w:t>odnotiace kritériá</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rsidR="003D7106" w:rsidRPr="007C58E4" w:rsidRDefault="00C759C8" w:rsidP="00C759C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T</w:t>
            </w:r>
            <w:r w:rsidR="003D7106" w:rsidRPr="007C58E4">
              <w:rPr>
                <w:rFonts w:cs="Calibri"/>
                <w:bCs/>
                <w:lang w:val="sk-SK" w:eastAsia="sk-SK"/>
              </w:rPr>
              <w:t>yp kritéria</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rsidR="003D7106" w:rsidRPr="007C58E4" w:rsidRDefault="00C759C8" w:rsidP="00C759C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w:t>
            </w:r>
            <w:r w:rsidR="003D7106" w:rsidRPr="007C58E4">
              <w:rPr>
                <w:rFonts w:cs="Calibri"/>
                <w:bCs/>
                <w:lang w:val="sk-SK" w:eastAsia="sk-SK"/>
              </w:rPr>
              <w:t>odnotenie</w:t>
            </w:r>
          </w:p>
        </w:tc>
      </w:tr>
      <w:tr w:rsidR="00C87DBE" w:rsidRPr="007C58E4" w:rsidTr="00C759C8">
        <w:tc>
          <w:tcPr>
            <w:cnfStyle w:val="001000000000" w:firstRow="0" w:lastRow="0" w:firstColumn="1" w:lastColumn="0" w:oddVBand="0" w:evenVBand="0" w:oddHBand="0" w:evenHBand="0" w:firstRowFirstColumn="0" w:firstRowLastColumn="0" w:lastRowFirstColumn="0" w:lastRowLastColumn="0"/>
            <w:tcW w:w="4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722C1A" w:rsidP="00C759C8">
            <w:pPr>
              <w:spacing w:before="0" w:after="0" w:line="240" w:lineRule="auto"/>
              <w:ind w:left="0" w:firstLine="0"/>
              <w:rPr>
                <w:rFonts w:cs="Calibri"/>
                <w:color w:val="FFFFFF" w:themeColor="background1"/>
                <w:lang w:val="sk-SK"/>
              </w:rPr>
            </w:pPr>
            <w:r w:rsidRPr="007C58E4">
              <w:rPr>
                <w:rFonts w:cs="Calibri"/>
                <w:bCs/>
                <w:color w:val="FFFFFF" w:themeColor="background1"/>
                <w:lang w:val="sk-SK" w:eastAsia="sk-SK"/>
              </w:rPr>
              <w:t>1</w:t>
            </w:r>
            <w:r w:rsidR="00C87DBE" w:rsidRPr="007C58E4">
              <w:rPr>
                <w:rFonts w:cs="Calibri"/>
                <w:bCs/>
                <w:color w:val="FFFFFF" w:themeColor="background1"/>
                <w:lang w:val="sk-SK" w:eastAsia="sk-SK"/>
              </w:rPr>
              <w:t>. Príspevok projektu k cieľom a výsledkom operačného programu a prioritnej osi</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722C1A"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1</w:t>
            </w:r>
            <w:r w:rsidR="00C87DBE" w:rsidRPr="007C58E4">
              <w:rPr>
                <w:rFonts w:cs="Calibri"/>
                <w:color w:val="000000"/>
                <w:lang w:val="sk-SK" w:eastAsia="sk-SK"/>
              </w:rPr>
              <w:t xml:space="preserve">.1 </w:t>
            </w:r>
            <w:r w:rsidR="007C58E4">
              <w:rPr>
                <w:rFonts w:cs="Calibri"/>
                <w:color w:val="000000"/>
                <w:lang w:val="sk-SK" w:eastAsia="sk-SK"/>
              </w:rPr>
              <w:t xml:space="preserve">  </w:t>
            </w:r>
            <w:r w:rsidR="00C87DBE" w:rsidRPr="007C58E4">
              <w:rPr>
                <w:rFonts w:cs="Calibri"/>
                <w:color w:val="000000"/>
                <w:lang w:val="sk-SK" w:eastAsia="sk-SK"/>
              </w:rPr>
              <w:t>Súlad projektu so stratégiou operačného programu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r w:rsidR="00C87DBE" w:rsidRPr="007C58E4" w:rsidTr="00C759C8">
        <w:trPr>
          <w:trHeight w:val="689"/>
        </w:trPr>
        <w:tc>
          <w:tcPr>
            <w:cnfStyle w:val="001000000000" w:firstRow="0" w:lastRow="0" w:firstColumn="1" w:lastColumn="0" w:oddVBand="0" w:evenVBand="0" w:oddHBand="0" w:evenHBand="0" w:firstRowFirstColumn="0" w:firstRowLastColumn="0" w:lastRowFirstColumn="0" w:lastRowLastColumn="0"/>
            <w:tcW w:w="4820"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722C1A" w:rsidP="00C759C8">
            <w:pPr>
              <w:spacing w:before="0" w:after="0" w:line="240" w:lineRule="auto"/>
              <w:ind w:left="0" w:firstLine="0"/>
              <w:rPr>
                <w:rFonts w:cs="Calibri"/>
                <w:color w:val="FFFFFF" w:themeColor="background1"/>
                <w:lang w:val="sk-SK"/>
              </w:rPr>
            </w:pPr>
            <w:r w:rsidRPr="007C58E4">
              <w:rPr>
                <w:rFonts w:cs="Calibri"/>
                <w:bCs/>
                <w:color w:val="FFFFFF" w:themeColor="background1"/>
                <w:lang w:val="sk-SK" w:eastAsia="sk-SK"/>
              </w:rPr>
              <w:t>2</w:t>
            </w:r>
            <w:r w:rsidR="00C87DBE" w:rsidRPr="007C58E4">
              <w:rPr>
                <w:rFonts w:cs="Calibri"/>
                <w:bCs/>
                <w:color w:val="FFFFFF" w:themeColor="background1"/>
                <w:lang w:val="sk-SK" w:eastAsia="sk-SK"/>
              </w:rPr>
              <w:t>. Spôsob realizácie projektu</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722C1A" w:rsidP="007C58E4">
            <w:pPr>
              <w:spacing w:before="0" w:after="0" w:line="240" w:lineRule="auto"/>
              <w:ind w:left="397" w:hanging="397"/>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2</w:t>
            </w:r>
            <w:r w:rsidR="00C87DBE" w:rsidRPr="007C58E4">
              <w:rPr>
                <w:rFonts w:cs="Calibri"/>
                <w:color w:val="000000"/>
                <w:lang w:val="sk-SK" w:eastAsia="sk-SK"/>
              </w:rPr>
              <w:t xml:space="preserve">.1 </w:t>
            </w:r>
            <w:r w:rsidR="007C58E4">
              <w:rPr>
                <w:rFonts w:cs="Calibri"/>
                <w:color w:val="000000"/>
                <w:lang w:val="sk-SK" w:eastAsia="sk-SK"/>
              </w:rPr>
              <w:t xml:space="preserve">  </w:t>
            </w:r>
            <w:r w:rsidR="00C87DBE" w:rsidRPr="007C58E4">
              <w:rPr>
                <w:rFonts w:cs="Calibri"/>
                <w:color w:val="000000"/>
                <w:lang w:val="sk-SK" w:eastAsia="sk-SK"/>
              </w:rPr>
              <w:t>Vhodnosť a prepojenosť navrhovaných aktivít projektu vo vzťahu k východiskovej situácii a k stanoveným cieľom a výsledkom projektu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r w:rsidR="00C87DBE" w:rsidRPr="007C58E4" w:rsidTr="00C759C8">
        <w:trPr>
          <w:trHeight w:val="739"/>
        </w:trPr>
        <w:tc>
          <w:tcPr>
            <w:cnfStyle w:val="001000000000" w:firstRow="0" w:lastRow="0" w:firstColumn="1" w:lastColumn="0" w:oddVBand="0" w:evenVBand="0" w:oddHBand="0" w:evenHBand="0" w:firstRowFirstColumn="0" w:firstRowLastColumn="0" w:lastRowFirstColumn="0" w:lastRowLastColumn="0"/>
            <w:tcW w:w="4820" w:type="dxa"/>
            <w:vMerge/>
            <w:tcBorders>
              <w:left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C87DBE" w:rsidP="00C759C8">
            <w:pPr>
              <w:spacing w:before="0" w:after="0" w:line="240" w:lineRule="auto"/>
              <w:ind w:left="0" w:firstLine="0"/>
              <w:rPr>
                <w:rFonts w:cs="Calibri"/>
                <w:color w:val="FFFFFF" w:themeColor="background1"/>
                <w:lang w:val="sk-SK"/>
              </w:rPr>
            </w:pP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722C1A" w:rsidP="007C58E4">
            <w:pPr>
              <w:spacing w:before="0" w:after="0" w:line="240" w:lineRule="auto"/>
              <w:ind w:left="397" w:hanging="397"/>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2</w:t>
            </w:r>
            <w:r w:rsidR="00C87DBE" w:rsidRPr="007C58E4">
              <w:rPr>
                <w:rFonts w:cs="Calibri"/>
                <w:color w:val="000000"/>
                <w:lang w:val="sk-SK" w:eastAsia="sk-SK"/>
              </w:rPr>
              <w:t xml:space="preserve">.2 </w:t>
            </w:r>
            <w:r w:rsidR="007C58E4">
              <w:rPr>
                <w:rFonts w:cs="Calibri"/>
                <w:color w:val="000000"/>
                <w:lang w:val="sk-SK" w:eastAsia="sk-SK"/>
              </w:rPr>
              <w:t xml:space="preserve">  </w:t>
            </w:r>
            <w:r w:rsidR="00C87DBE" w:rsidRPr="007C58E4">
              <w:rPr>
                <w:rFonts w:cs="Calibri"/>
                <w:color w:val="000000"/>
                <w:lang w:val="sk-SK" w:eastAsia="sk-SK"/>
              </w:rPr>
              <w:t>Reálnosť aktivít projektu vo vzťahu k navrhovanému časovému harmonogramu projektu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r w:rsidR="00C87DBE" w:rsidRPr="007C58E4" w:rsidTr="00C759C8">
        <w:trPr>
          <w:trHeight w:val="671"/>
        </w:trPr>
        <w:tc>
          <w:tcPr>
            <w:cnfStyle w:val="001000000000" w:firstRow="0" w:lastRow="0" w:firstColumn="1" w:lastColumn="0" w:oddVBand="0" w:evenVBand="0" w:oddHBand="0" w:evenHBand="0" w:firstRowFirstColumn="0" w:firstRowLastColumn="0" w:lastRowFirstColumn="0" w:lastRowLastColumn="0"/>
            <w:tcW w:w="4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722C1A" w:rsidP="00C759C8">
            <w:pPr>
              <w:spacing w:before="0" w:after="0" w:line="240" w:lineRule="auto"/>
              <w:ind w:left="0" w:firstLine="0"/>
              <w:rPr>
                <w:rFonts w:cs="Calibri"/>
                <w:color w:val="FFFFFF" w:themeColor="background1"/>
                <w:lang w:val="sk-SK"/>
              </w:rPr>
            </w:pPr>
            <w:r w:rsidRPr="007C58E4">
              <w:rPr>
                <w:rFonts w:cs="Calibri"/>
                <w:bCs/>
                <w:color w:val="FFFFFF" w:themeColor="background1"/>
                <w:lang w:val="sk-SK" w:eastAsia="sk-SK"/>
              </w:rPr>
              <w:t>3</w:t>
            </w:r>
            <w:r w:rsidR="00C87DBE" w:rsidRPr="007C58E4">
              <w:rPr>
                <w:rFonts w:cs="Calibri"/>
                <w:bCs/>
                <w:color w:val="FFFFFF" w:themeColor="background1"/>
                <w:lang w:val="sk-SK" w:eastAsia="sk-SK"/>
              </w:rPr>
              <w:t xml:space="preserve"> Administratívna a prevádzková kapacita žiadateľa</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8F0E0A" w:rsidRPr="007C58E4" w:rsidRDefault="00722C1A" w:rsidP="007C58E4">
            <w:pPr>
              <w:pStyle w:val="Tabtext"/>
              <w:ind w:left="397" w:hanging="397"/>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3</w:t>
            </w:r>
            <w:r w:rsidR="008F0E0A" w:rsidRPr="007C58E4">
              <w:rPr>
                <w:rFonts w:cs="Calibri"/>
                <w:sz w:val="20"/>
                <w:lang w:val="sk-SK"/>
              </w:rPr>
              <w:t xml:space="preserve">.1 </w:t>
            </w:r>
            <w:r w:rsidR="007C58E4">
              <w:rPr>
                <w:rFonts w:cs="Calibri"/>
                <w:sz w:val="20"/>
                <w:lang w:val="sk-SK"/>
              </w:rPr>
              <w:t xml:space="preserve">  </w:t>
            </w:r>
            <w:r w:rsidR="008F0E0A" w:rsidRPr="007C58E4">
              <w:rPr>
                <w:rFonts w:cs="Calibri"/>
                <w:sz w:val="20"/>
                <w:lang w:val="sk-SK"/>
              </w:rPr>
              <w:t xml:space="preserve">Kapacita žiadateľa na riadenie a realizáciu projektu a zabezpečenie   </w:t>
            </w:r>
          </w:p>
          <w:p w:rsidR="00C87DBE" w:rsidRPr="007C58E4" w:rsidRDefault="007C58E4" w:rsidP="007C58E4">
            <w:pPr>
              <w:tabs>
                <w:tab w:val="left" w:pos="188"/>
              </w:tabs>
              <w:spacing w:before="0" w:after="0" w:line="240" w:lineRule="auto"/>
              <w:ind w:left="397" w:hanging="397"/>
              <w:cnfStyle w:val="000000000000" w:firstRow="0" w:lastRow="0" w:firstColumn="0" w:lastColumn="0" w:oddVBand="0" w:evenVBand="0" w:oddHBand="0" w:evenHBand="0" w:firstRowFirstColumn="0" w:firstRowLastColumn="0" w:lastRowFirstColumn="0" w:lastRowLastColumn="0"/>
              <w:rPr>
                <w:rFonts w:cs="Calibri"/>
                <w:lang w:val="sk-SK"/>
              </w:rPr>
            </w:pPr>
            <w:r>
              <w:rPr>
                <w:rFonts w:cs="Calibri"/>
                <w:lang w:val="sk-SK"/>
              </w:rPr>
              <w:t xml:space="preserve">         </w:t>
            </w:r>
            <w:r w:rsidR="008F0E0A" w:rsidRPr="007C58E4">
              <w:rPr>
                <w:rFonts w:cs="Calibri"/>
                <w:lang w:val="sk-SK"/>
              </w:rPr>
              <w:t>prevádzky projektu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r w:rsidR="00C87DBE" w:rsidRPr="007C58E4" w:rsidTr="00C759C8">
        <w:trPr>
          <w:trHeight w:val="424"/>
        </w:trPr>
        <w:tc>
          <w:tcPr>
            <w:cnfStyle w:val="001000000000" w:firstRow="0" w:lastRow="0" w:firstColumn="1" w:lastColumn="0" w:oddVBand="0" w:evenVBand="0" w:oddHBand="0" w:evenHBand="0" w:firstRowFirstColumn="0" w:firstRowLastColumn="0" w:lastRowFirstColumn="0" w:lastRowLastColumn="0"/>
            <w:tcW w:w="4820"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722C1A" w:rsidP="00C759C8">
            <w:pPr>
              <w:spacing w:before="0" w:after="0" w:line="240" w:lineRule="auto"/>
              <w:ind w:left="0" w:firstLine="0"/>
              <w:rPr>
                <w:rFonts w:cs="Calibri"/>
                <w:color w:val="FFFFFF" w:themeColor="background1"/>
                <w:lang w:val="sk-SK"/>
              </w:rPr>
            </w:pPr>
            <w:r w:rsidRPr="007C58E4">
              <w:rPr>
                <w:rFonts w:cs="Calibri"/>
                <w:bCs/>
                <w:color w:val="FFFFFF" w:themeColor="background1"/>
                <w:lang w:val="sk-SK" w:eastAsia="sk-SK"/>
              </w:rPr>
              <w:t>4</w:t>
            </w:r>
            <w:r w:rsidR="00C87DBE" w:rsidRPr="007C58E4">
              <w:rPr>
                <w:rFonts w:cs="Calibri"/>
                <w:bCs/>
                <w:color w:val="FFFFFF" w:themeColor="background1"/>
                <w:lang w:val="sk-SK" w:eastAsia="sk-SK"/>
              </w:rPr>
              <w:t>. Finančná a ekonomická stránka projektu</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722C1A"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4</w:t>
            </w:r>
            <w:r w:rsidR="00C87DBE" w:rsidRPr="007C58E4">
              <w:rPr>
                <w:rFonts w:cs="Calibri"/>
                <w:color w:val="000000"/>
                <w:lang w:val="sk-SK" w:eastAsia="sk-SK"/>
              </w:rPr>
              <w:t xml:space="preserve">.1 </w:t>
            </w:r>
            <w:r w:rsidR="007C58E4">
              <w:rPr>
                <w:rFonts w:cs="Calibri"/>
                <w:color w:val="000000"/>
                <w:lang w:val="sk-SK" w:eastAsia="sk-SK"/>
              </w:rPr>
              <w:t xml:space="preserve">  </w:t>
            </w:r>
            <w:r w:rsidR="00C87DBE" w:rsidRPr="007C58E4">
              <w:rPr>
                <w:rFonts w:cs="Calibri"/>
                <w:color w:val="000000"/>
                <w:lang w:val="sk-SK" w:eastAsia="sk-SK"/>
              </w:rPr>
              <w:t>Účelnosť a vecná oprávnenosť výdavkov projektu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r w:rsidR="00C87DBE" w:rsidRPr="007C58E4" w:rsidTr="00C759C8">
        <w:trPr>
          <w:trHeight w:val="516"/>
        </w:trPr>
        <w:tc>
          <w:tcPr>
            <w:cnfStyle w:val="001000000000" w:firstRow="0" w:lastRow="0" w:firstColumn="1" w:lastColumn="0" w:oddVBand="0" w:evenVBand="0" w:oddHBand="0" w:evenHBand="0" w:firstRowFirstColumn="0" w:firstRowLastColumn="0" w:lastRowFirstColumn="0" w:lastRowLastColumn="0"/>
            <w:tcW w:w="4820"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C87DBE" w:rsidP="00C759C8">
            <w:pPr>
              <w:spacing w:before="0" w:after="0" w:line="240" w:lineRule="auto"/>
              <w:ind w:left="0" w:firstLine="0"/>
              <w:rPr>
                <w:rFonts w:cs="Calibri"/>
                <w:lang w:val="sk-SK"/>
              </w:rPr>
            </w:pP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722C1A"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4</w:t>
            </w:r>
            <w:r w:rsidR="00C87DBE" w:rsidRPr="007C58E4">
              <w:rPr>
                <w:rFonts w:cs="Calibri"/>
                <w:color w:val="000000"/>
                <w:lang w:val="sk-SK" w:eastAsia="sk-SK"/>
              </w:rPr>
              <w:t xml:space="preserve">.2 </w:t>
            </w:r>
            <w:r w:rsidR="007C58E4">
              <w:rPr>
                <w:rFonts w:cs="Calibri"/>
                <w:color w:val="000000"/>
                <w:lang w:val="sk-SK" w:eastAsia="sk-SK"/>
              </w:rPr>
              <w:t xml:space="preserve">  </w:t>
            </w:r>
            <w:r w:rsidR="00C87DBE" w:rsidRPr="007C58E4">
              <w:rPr>
                <w:rFonts w:cs="Calibri"/>
                <w:color w:val="000000"/>
                <w:lang w:val="sk-SK" w:eastAsia="sk-SK"/>
              </w:rPr>
              <w:t>Hospodárnosť a efektívnosť výdavkov projektu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bl>
    <w:p w:rsidR="00722C1A" w:rsidRPr="007C58E4" w:rsidRDefault="00722C1A" w:rsidP="00722C1A">
      <w:pPr>
        <w:pStyle w:val="Popis"/>
        <w:keepNext/>
        <w:rPr>
          <w:rFonts w:ascii="Arial Narrow" w:hAnsi="Arial Narrow" w:cstheme="minorHAnsi"/>
          <w:color w:val="000000"/>
          <w:sz w:val="20"/>
          <w:lang w:val="sk-SK" w:eastAsia="sk-SK"/>
        </w:rPr>
      </w:pPr>
      <w:bookmarkStart w:id="2" w:name="_Toc408169475"/>
      <w:bookmarkStart w:id="3" w:name="_Toc410033905"/>
      <w:bookmarkEnd w:id="2"/>
      <w:bookmarkEnd w:id="3"/>
      <w:r w:rsidRPr="007C58E4">
        <w:rPr>
          <w:rFonts w:ascii="Arial Narrow" w:hAnsi="Arial Narrow" w:cstheme="minorHAnsi"/>
          <w:color w:val="000000"/>
          <w:sz w:val="20"/>
          <w:lang w:val="sk-SK" w:eastAsia="sk-SK"/>
        </w:rPr>
        <w:t xml:space="preserve">               </w:t>
      </w:r>
    </w:p>
    <w:p w:rsidR="00722C1A" w:rsidRPr="007C58E4" w:rsidRDefault="00BB5E7C" w:rsidP="00FB6D9A">
      <w:pPr>
        <w:pStyle w:val="Zkladntext"/>
        <w:numPr>
          <w:ilvl w:val="0"/>
          <w:numId w:val="0"/>
        </w:numPr>
        <w:spacing w:before="120" w:after="0"/>
        <w:ind w:left="720" w:hanging="360"/>
        <w:rPr>
          <w:rFonts w:cs="Calibri"/>
        </w:rPr>
      </w:pPr>
      <w:r w:rsidRPr="007C58E4">
        <w:rPr>
          <w:rFonts w:cs="Calibri"/>
          <w:color w:val="000000"/>
          <w:lang w:eastAsia="sk-SK"/>
        </w:rPr>
        <w:t xml:space="preserve">       </w:t>
      </w:r>
      <w:r w:rsidR="00722C1A" w:rsidRPr="007C58E4">
        <w:rPr>
          <w:rFonts w:cs="Calibri"/>
          <w:color w:val="000000"/>
          <w:lang w:eastAsia="sk-SK"/>
        </w:rPr>
        <w:t>Na splnenie kritérií odborného hodnotenia je potrebné splniť (hodnotenie „áno“) pre všetky relevantné hodnotiace kritériá.</w:t>
      </w:r>
    </w:p>
    <w:p w:rsidR="00722C1A" w:rsidRPr="007C58E4" w:rsidRDefault="00722C1A" w:rsidP="00722C1A">
      <w:pPr>
        <w:pStyle w:val="Popis"/>
        <w:keepNext/>
        <w:rPr>
          <w:rFonts w:cs="Calibri"/>
          <w:lang w:val="sk-SK"/>
        </w:rPr>
      </w:pPr>
    </w:p>
    <w:p w:rsidR="009F229C" w:rsidRPr="007C58E4" w:rsidRDefault="009F229C">
      <w:pPr>
        <w:spacing w:before="0" w:after="200" w:line="276" w:lineRule="auto"/>
        <w:ind w:left="0" w:firstLine="0"/>
        <w:rPr>
          <w:rFonts w:eastAsia="Times New Roman" w:cs="Calibri"/>
          <w:color w:val="002776"/>
          <w:szCs w:val="20"/>
        </w:rPr>
      </w:pPr>
    </w:p>
    <w:sectPr w:rsidR="009F229C" w:rsidRPr="007C58E4" w:rsidSect="009974B5">
      <w:headerReference w:type="default" r:id="rId8"/>
      <w:pgSz w:w="16838" w:h="11906" w:orient="landscape" w:code="9"/>
      <w:pgMar w:top="720" w:right="227" w:bottom="720" w:left="227"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E0E" w:rsidRDefault="00E52E0E" w:rsidP="00FA7815">
      <w:pPr>
        <w:spacing w:after="0" w:line="240" w:lineRule="auto"/>
      </w:pPr>
      <w:r>
        <w:separator/>
      </w:r>
    </w:p>
  </w:endnote>
  <w:endnote w:type="continuationSeparator" w:id="0">
    <w:p w:rsidR="00E52E0E" w:rsidRDefault="00E52E0E" w:rsidP="00FA7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E0E" w:rsidRDefault="00E52E0E" w:rsidP="00FA7815">
      <w:pPr>
        <w:spacing w:after="0" w:line="240" w:lineRule="auto"/>
      </w:pPr>
      <w:r>
        <w:separator/>
      </w:r>
    </w:p>
  </w:footnote>
  <w:footnote w:type="continuationSeparator" w:id="0">
    <w:p w:rsidR="00E52E0E" w:rsidRDefault="00E52E0E" w:rsidP="00FA7815">
      <w:pPr>
        <w:spacing w:after="0" w:line="240" w:lineRule="auto"/>
      </w:pPr>
      <w:r>
        <w:continuationSeparator/>
      </w:r>
    </w:p>
  </w:footnote>
  <w:footnote w:id="1">
    <w:p w:rsidR="0041654D" w:rsidRDefault="0041654D" w:rsidP="0041654D">
      <w:r>
        <w:rPr>
          <w:rStyle w:val="Odkaznapoznmkupodiarou"/>
        </w:rPr>
        <w:footnoteRef/>
      </w:r>
      <w:r>
        <w:t xml:space="preserve"> Pri overovaní hospodárnosti výdavkov naviazaných na interné riadenie projektu</w:t>
      </w:r>
      <w:r w:rsidRPr="000F174E">
        <w:t xml:space="preserve"> </w:t>
      </w:r>
      <w:r>
        <w:t>je postačujúce aplikovať ako pomocné nástroje overenia hospodárnosti výdavkov len finančné a percentuálne limity RO (t.j. nevyžaduje sa aplikácia tretieho pomocného nástroja).</w:t>
      </w:r>
    </w:p>
    <w:p w:rsidR="0041654D" w:rsidRDefault="0041654D" w:rsidP="0041654D">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E0E" w:rsidRPr="00624DC2" w:rsidRDefault="00E52E0E">
    <w:pPr>
      <w:pStyle w:val="Hlavika"/>
      <w:tabs>
        <w:tab w:val="left" w:pos="709"/>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70CE"/>
    <w:multiLevelType w:val="hybridMultilevel"/>
    <w:tmpl w:val="9C68AB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5365A"/>
    <w:multiLevelType w:val="hybridMultilevel"/>
    <w:tmpl w:val="A2E484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4509E7"/>
    <w:multiLevelType w:val="hybridMultilevel"/>
    <w:tmpl w:val="902089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B46302"/>
    <w:multiLevelType w:val="hybridMultilevel"/>
    <w:tmpl w:val="3E4C629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18F405D0"/>
    <w:multiLevelType w:val="hybridMultilevel"/>
    <w:tmpl w:val="7A101DBC"/>
    <w:lvl w:ilvl="0" w:tplc="04090017">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7" w15:restartNumberingAfterBreak="0">
    <w:nsid w:val="1DD76B60"/>
    <w:multiLevelType w:val="hybridMultilevel"/>
    <w:tmpl w:val="0A085460"/>
    <w:lvl w:ilvl="0" w:tplc="04090017">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15:restartNumberingAfterBreak="0">
    <w:nsid w:val="202146E8"/>
    <w:multiLevelType w:val="hybridMultilevel"/>
    <w:tmpl w:val="91666C36"/>
    <w:lvl w:ilvl="0" w:tplc="6FA691BA">
      <w:start w:val="1"/>
      <w:numFmt w:val="decimal"/>
      <w:lvlText w:val="%1."/>
      <w:lvlJc w:val="right"/>
      <w:pPr>
        <w:tabs>
          <w:tab w:val="num" w:pos="180"/>
        </w:tabs>
        <w:ind w:left="180" w:hanging="180"/>
      </w:pPr>
      <w:rPr>
        <w:rFonts w:hint="default"/>
      </w:rPr>
    </w:lvl>
    <w:lvl w:ilvl="1" w:tplc="D1E0FBBE">
      <w:start w:val="1"/>
      <w:numFmt w:val="lowerLetter"/>
      <w:lvlText w:val="%2)"/>
      <w:lvlJc w:val="left"/>
      <w:pPr>
        <w:tabs>
          <w:tab w:val="num" w:pos="2700"/>
        </w:tabs>
        <w:ind w:left="2700" w:hanging="360"/>
      </w:pPr>
      <w:rPr>
        <w:rFonts w:hint="default"/>
      </w:rPr>
    </w:lvl>
    <w:lvl w:ilvl="2" w:tplc="041B001B" w:tentative="1">
      <w:start w:val="1"/>
      <w:numFmt w:val="lowerRoman"/>
      <w:lvlText w:val="%3."/>
      <w:lvlJc w:val="right"/>
      <w:pPr>
        <w:tabs>
          <w:tab w:val="num" w:pos="3420"/>
        </w:tabs>
        <w:ind w:left="3420" w:hanging="180"/>
      </w:pPr>
    </w:lvl>
    <w:lvl w:ilvl="3" w:tplc="041B000F" w:tentative="1">
      <w:start w:val="1"/>
      <w:numFmt w:val="decimal"/>
      <w:lvlText w:val="%4."/>
      <w:lvlJc w:val="left"/>
      <w:pPr>
        <w:tabs>
          <w:tab w:val="num" w:pos="4140"/>
        </w:tabs>
        <w:ind w:left="4140" w:hanging="360"/>
      </w:pPr>
    </w:lvl>
    <w:lvl w:ilvl="4" w:tplc="041B0019" w:tentative="1">
      <w:start w:val="1"/>
      <w:numFmt w:val="lowerLetter"/>
      <w:lvlText w:val="%5."/>
      <w:lvlJc w:val="left"/>
      <w:pPr>
        <w:tabs>
          <w:tab w:val="num" w:pos="4860"/>
        </w:tabs>
        <w:ind w:left="4860" w:hanging="360"/>
      </w:pPr>
    </w:lvl>
    <w:lvl w:ilvl="5" w:tplc="041B001B" w:tentative="1">
      <w:start w:val="1"/>
      <w:numFmt w:val="lowerRoman"/>
      <w:lvlText w:val="%6."/>
      <w:lvlJc w:val="right"/>
      <w:pPr>
        <w:tabs>
          <w:tab w:val="num" w:pos="5580"/>
        </w:tabs>
        <w:ind w:left="5580" w:hanging="180"/>
      </w:pPr>
    </w:lvl>
    <w:lvl w:ilvl="6" w:tplc="041B000F" w:tentative="1">
      <w:start w:val="1"/>
      <w:numFmt w:val="decimal"/>
      <w:lvlText w:val="%7."/>
      <w:lvlJc w:val="left"/>
      <w:pPr>
        <w:tabs>
          <w:tab w:val="num" w:pos="6300"/>
        </w:tabs>
        <w:ind w:left="6300" w:hanging="360"/>
      </w:pPr>
    </w:lvl>
    <w:lvl w:ilvl="7" w:tplc="041B0019" w:tentative="1">
      <w:start w:val="1"/>
      <w:numFmt w:val="lowerLetter"/>
      <w:lvlText w:val="%8."/>
      <w:lvlJc w:val="left"/>
      <w:pPr>
        <w:tabs>
          <w:tab w:val="num" w:pos="7020"/>
        </w:tabs>
        <w:ind w:left="7020" w:hanging="360"/>
      </w:pPr>
    </w:lvl>
    <w:lvl w:ilvl="8" w:tplc="041B001B" w:tentative="1">
      <w:start w:val="1"/>
      <w:numFmt w:val="lowerRoman"/>
      <w:lvlText w:val="%9."/>
      <w:lvlJc w:val="right"/>
      <w:pPr>
        <w:tabs>
          <w:tab w:val="num" w:pos="7740"/>
        </w:tabs>
        <w:ind w:left="7740" w:hanging="180"/>
      </w:pPr>
    </w:lvl>
  </w:abstractNum>
  <w:abstractNum w:abstractNumId="9" w15:restartNumberingAfterBreak="0">
    <w:nsid w:val="209F33B7"/>
    <w:multiLevelType w:val="hybridMultilevel"/>
    <w:tmpl w:val="4284519E"/>
    <w:lvl w:ilvl="0" w:tplc="04090017">
      <w:start w:val="1"/>
      <w:numFmt w:val="lowerLetter"/>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15:restartNumberingAfterBreak="0">
    <w:nsid w:val="217F489A"/>
    <w:multiLevelType w:val="hybridMultilevel"/>
    <w:tmpl w:val="1FBE24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8E48C8"/>
    <w:multiLevelType w:val="hybridMultilevel"/>
    <w:tmpl w:val="ADAAD4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A97D66"/>
    <w:multiLevelType w:val="hybridMultilevel"/>
    <w:tmpl w:val="162ACC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AC03B49"/>
    <w:multiLevelType w:val="hybridMultilevel"/>
    <w:tmpl w:val="C3F88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F373F7"/>
    <w:multiLevelType w:val="hybridMultilevel"/>
    <w:tmpl w:val="9C68AB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3B60EA"/>
    <w:multiLevelType w:val="multilevel"/>
    <w:tmpl w:val="BC323E08"/>
    <w:lvl w:ilvl="0">
      <w:start w:val="1"/>
      <w:numFmt w:val="decimal"/>
      <w:pStyle w:val="Nadpis1"/>
      <w:lvlText w:val="%1."/>
      <w:lvlJc w:val="left"/>
      <w:pPr>
        <w:ind w:left="360" w:hanging="360"/>
      </w:pPr>
      <w:rPr>
        <w:b w:val="0"/>
        <w:bCs w:val="0"/>
        <w:i w:val="0"/>
        <w:iCs w:val="0"/>
        <w:caps w:val="0"/>
        <w:smallCaps w:val="0"/>
        <w:strike w:val="0"/>
        <w:dstrike w:val="0"/>
        <w:noProof w:val="0"/>
        <w:vanish w:val="0"/>
        <w:color w:val="1F497D"/>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E866167"/>
    <w:multiLevelType w:val="hybridMultilevel"/>
    <w:tmpl w:val="083E85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C041A6"/>
    <w:multiLevelType w:val="hybridMultilevel"/>
    <w:tmpl w:val="D138DC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2536C8"/>
    <w:multiLevelType w:val="hybridMultilevel"/>
    <w:tmpl w:val="BAF01D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7B70191"/>
    <w:multiLevelType w:val="hybridMultilevel"/>
    <w:tmpl w:val="1F0668B6"/>
    <w:lvl w:ilvl="0" w:tplc="7570CAE8">
      <w:start w:val="1"/>
      <w:numFmt w:val="decimal"/>
      <w:lvlText w:val="%1."/>
      <w:lvlJc w:val="left"/>
      <w:pPr>
        <w:ind w:left="720" w:hanging="360"/>
      </w:pPr>
      <w:rPr>
        <w:rFonts w:ascii="Calibri" w:hAnsi="Calibri"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345E36"/>
    <w:multiLevelType w:val="hybridMultilevel"/>
    <w:tmpl w:val="261C6346"/>
    <w:lvl w:ilvl="0" w:tplc="04090001">
      <w:start w:val="1"/>
      <w:numFmt w:val="bullet"/>
      <w:lvlText w:val=""/>
      <w:lvlJc w:val="left"/>
      <w:pPr>
        <w:tabs>
          <w:tab w:val="num" w:pos="420"/>
        </w:tabs>
        <w:ind w:left="420" w:hanging="360"/>
      </w:pPr>
      <w:rPr>
        <w:rFonts w:ascii="Symbol" w:hAnsi="Symbol"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21" w15:restartNumberingAfterBreak="0">
    <w:nsid w:val="4A875ED0"/>
    <w:multiLevelType w:val="hybridMultilevel"/>
    <w:tmpl w:val="1226B650"/>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2" w15:restartNumberingAfterBreak="0">
    <w:nsid w:val="4D8A5F05"/>
    <w:multiLevelType w:val="hybridMultilevel"/>
    <w:tmpl w:val="A886CA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9F01D8"/>
    <w:multiLevelType w:val="hybridMultilevel"/>
    <w:tmpl w:val="E2FEA9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581642"/>
    <w:multiLevelType w:val="hybridMultilevel"/>
    <w:tmpl w:val="4FB66986"/>
    <w:lvl w:ilvl="0" w:tplc="896C7A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5609A9"/>
    <w:multiLevelType w:val="hybridMultilevel"/>
    <w:tmpl w:val="A11AFB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1772F3"/>
    <w:multiLevelType w:val="hybridMultilevel"/>
    <w:tmpl w:val="3BACC67E"/>
    <w:lvl w:ilvl="0" w:tplc="58B6C62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6C343C"/>
    <w:multiLevelType w:val="hybridMultilevel"/>
    <w:tmpl w:val="C396D5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F61372"/>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FBC5E2D"/>
    <w:multiLevelType w:val="hybridMultilevel"/>
    <w:tmpl w:val="6966E9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B04201"/>
    <w:multiLevelType w:val="hybridMultilevel"/>
    <w:tmpl w:val="A5A0637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7124C0B"/>
    <w:multiLevelType w:val="hybridMultilevel"/>
    <w:tmpl w:val="9C4CB1DA"/>
    <w:lvl w:ilvl="0" w:tplc="A5CAB1D4">
      <w:start w:val="1"/>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34" w15:restartNumberingAfterBreak="0">
    <w:nsid w:val="7FA81CEF"/>
    <w:multiLevelType w:val="hybridMultilevel"/>
    <w:tmpl w:val="363E33CE"/>
    <w:lvl w:ilvl="0" w:tplc="2702E0AE">
      <w:start w:val="1"/>
      <w:numFmt w:val="bullet"/>
      <w:pStyle w:val="Zkladntex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5"/>
  </w:num>
  <w:num w:numId="3">
    <w:abstractNumId w:val="34"/>
  </w:num>
  <w:num w:numId="4">
    <w:abstractNumId w:val="29"/>
  </w:num>
  <w:num w:numId="5">
    <w:abstractNumId w:val="4"/>
  </w:num>
  <w:num w:numId="6">
    <w:abstractNumId w:val="28"/>
  </w:num>
  <w:num w:numId="7">
    <w:abstractNumId w:val="19"/>
  </w:num>
  <w:num w:numId="8">
    <w:abstractNumId w:val="6"/>
  </w:num>
  <w:num w:numId="9">
    <w:abstractNumId w:val="18"/>
  </w:num>
  <w:num w:numId="10">
    <w:abstractNumId w:val="1"/>
  </w:num>
  <w:num w:numId="11">
    <w:abstractNumId w:val="12"/>
  </w:num>
  <w:num w:numId="12">
    <w:abstractNumId w:val="3"/>
  </w:num>
  <w:num w:numId="13">
    <w:abstractNumId w:val="2"/>
  </w:num>
  <w:num w:numId="14">
    <w:abstractNumId w:val="17"/>
  </w:num>
  <w:num w:numId="15">
    <w:abstractNumId w:val="13"/>
  </w:num>
  <w:num w:numId="16">
    <w:abstractNumId w:val="33"/>
  </w:num>
  <w:num w:numId="17">
    <w:abstractNumId w:val="5"/>
  </w:num>
  <w:num w:numId="18">
    <w:abstractNumId w:val="27"/>
  </w:num>
  <w:num w:numId="19">
    <w:abstractNumId w:val="7"/>
  </w:num>
  <w:num w:numId="20">
    <w:abstractNumId w:val="25"/>
  </w:num>
  <w:num w:numId="21">
    <w:abstractNumId w:val="31"/>
  </w:num>
  <w:num w:numId="22">
    <w:abstractNumId w:val="22"/>
  </w:num>
  <w:num w:numId="23">
    <w:abstractNumId w:val="0"/>
  </w:num>
  <w:num w:numId="24">
    <w:abstractNumId w:val="26"/>
  </w:num>
  <w:num w:numId="25">
    <w:abstractNumId w:val="24"/>
  </w:num>
  <w:num w:numId="26">
    <w:abstractNumId w:val="21"/>
  </w:num>
  <w:num w:numId="27">
    <w:abstractNumId w:val="8"/>
  </w:num>
  <w:num w:numId="28">
    <w:abstractNumId w:val="15"/>
  </w:num>
  <w:num w:numId="29">
    <w:abstractNumId w:val="15"/>
  </w:num>
  <w:num w:numId="30">
    <w:abstractNumId w:val="14"/>
  </w:num>
  <w:num w:numId="31">
    <w:abstractNumId w:val="9"/>
  </w:num>
  <w:num w:numId="32">
    <w:abstractNumId w:val="16"/>
  </w:num>
  <w:num w:numId="33">
    <w:abstractNumId w:val="11"/>
  </w:num>
  <w:num w:numId="34">
    <w:abstractNumId w:val="23"/>
  </w:num>
  <w:num w:numId="35">
    <w:abstractNumId w:val="10"/>
  </w:num>
  <w:num w:numId="36">
    <w:abstractNumId w:val="20"/>
  </w:num>
  <w:num w:numId="37">
    <w:abstractNumId w:val="30"/>
  </w:num>
  <w:num w:numId="38">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815"/>
    <w:rsid w:val="00002987"/>
    <w:rsid w:val="00002E1F"/>
    <w:rsid w:val="00004BCE"/>
    <w:rsid w:val="000134BF"/>
    <w:rsid w:val="000139A0"/>
    <w:rsid w:val="000178EC"/>
    <w:rsid w:val="00023D1E"/>
    <w:rsid w:val="00036DBF"/>
    <w:rsid w:val="00037067"/>
    <w:rsid w:val="00043E42"/>
    <w:rsid w:val="0005426E"/>
    <w:rsid w:val="00054D4C"/>
    <w:rsid w:val="00054FE3"/>
    <w:rsid w:val="000558B9"/>
    <w:rsid w:val="000572BD"/>
    <w:rsid w:val="00061083"/>
    <w:rsid w:val="00061D45"/>
    <w:rsid w:val="0006236F"/>
    <w:rsid w:val="00062644"/>
    <w:rsid w:val="00070A20"/>
    <w:rsid w:val="000730CA"/>
    <w:rsid w:val="000731BF"/>
    <w:rsid w:val="00073EDE"/>
    <w:rsid w:val="000747A1"/>
    <w:rsid w:val="0007657F"/>
    <w:rsid w:val="0008017C"/>
    <w:rsid w:val="0008036C"/>
    <w:rsid w:val="00080CFF"/>
    <w:rsid w:val="00083C41"/>
    <w:rsid w:val="00090CF1"/>
    <w:rsid w:val="000A197B"/>
    <w:rsid w:val="000A58BC"/>
    <w:rsid w:val="000A733D"/>
    <w:rsid w:val="000B5FF2"/>
    <w:rsid w:val="000B71C0"/>
    <w:rsid w:val="000C117B"/>
    <w:rsid w:val="000C21F7"/>
    <w:rsid w:val="000C28E8"/>
    <w:rsid w:val="000C309A"/>
    <w:rsid w:val="000C391E"/>
    <w:rsid w:val="000C47FF"/>
    <w:rsid w:val="000C57BC"/>
    <w:rsid w:val="000E700F"/>
    <w:rsid w:val="000F230D"/>
    <w:rsid w:val="000F2DA7"/>
    <w:rsid w:val="000F4B34"/>
    <w:rsid w:val="000F7A1B"/>
    <w:rsid w:val="00100E42"/>
    <w:rsid w:val="0010315F"/>
    <w:rsid w:val="0010787A"/>
    <w:rsid w:val="00110572"/>
    <w:rsid w:val="00111240"/>
    <w:rsid w:val="001157ED"/>
    <w:rsid w:val="00125984"/>
    <w:rsid w:val="00127BB5"/>
    <w:rsid w:val="00135487"/>
    <w:rsid w:val="001375B6"/>
    <w:rsid w:val="0014760A"/>
    <w:rsid w:val="00156760"/>
    <w:rsid w:val="00156FBB"/>
    <w:rsid w:val="00160EAB"/>
    <w:rsid w:val="001633A8"/>
    <w:rsid w:val="00167328"/>
    <w:rsid w:val="00170CA8"/>
    <w:rsid w:val="0017633D"/>
    <w:rsid w:val="001777F5"/>
    <w:rsid w:val="001831E2"/>
    <w:rsid w:val="0018430C"/>
    <w:rsid w:val="00185B5B"/>
    <w:rsid w:val="001964D7"/>
    <w:rsid w:val="001A1E9C"/>
    <w:rsid w:val="001A366C"/>
    <w:rsid w:val="001A3AC8"/>
    <w:rsid w:val="001A4F1F"/>
    <w:rsid w:val="001B07EC"/>
    <w:rsid w:val="001B48D4"/>
    <w:rsid w:val="001C09AB"/>
    <w:rsid w:val="001C2C33"/>
    <w:rsid w:val="001C5461"/>
    <w:rsid w:val="001D7BB0"/>
    <w:rsid w:val="001E0DF2"/>
    <w:rsid w:val="001E2FDE"/>
    <w:rsid w:val="001E2FF3"/>
    <w:rsid w:val="001E518D"/>
    <w:rsid w:val="001E748C"/>
    <w:rsid w:val="001E786D"/>
    <w:rsid w:val="001F1E12"/>
    <w:rsid w:val="001F5C2A"/>
    <w:rsid w:val="001F7456"/>
    <w:rsid w:val="00200A6C"/>
    <w:rsid w:val="00203CD4"/>
    <w:rsid w:val="002040FF"/>
    <w:rsid w:val="00207ED5"/>
    <w:rsid w:val="00213FBB"/>
    <w:rsid w:val="00215E2A"/>
    <w:rsid w:val="002262BC"/>
    <w:rsid w:val="00231582"/>
    <w:rsid w:val="0025030F"/>
    <w:rsid w:val="00253287"/>
    <w:rsid w:val="0025371D"/>
    <w:rsid w:val="0026531D"/>
    <w:rsid w:val="00267B63"/>
    <w:rsid w:val="00272409"/>
    <w:rsid w:val="00283A4C"/>
    <w:rsid w:val="00284D17"/>
    <w:rsid w:val="00286E6B"/>
    <w:rsid w:val="00287B6F"/>
    <w:rsid w:val="0029035C"/>
    <w:rsid w:val="00293DC3"/>
    <w:rsid w:val="00295D02"/>
    <w:rsid w:val="00296312"/>
    <w:rsid w:val="00297D82"/>
    <w:rsid w:val="002B1BDD"/>
    <w:rsid w:val="002B2597"/>
    <w:rsid w:val="002B25ED"/>
    <w:rsid w:val="002C0B87"/>
    <w:rsid w:val="002C7266"/>
    <w:rsid w:val="002D1F3D"/>
    <w:rsid w:val="002D367E"/>
    <w:rsid w:val="002D4AB1"/>
    <w:rsid w:val="002D6917"/>
    <w:rsid w:val="002D738B"/>
    <w:rsid w:val="002E3A2E"/>
    <w:rsid w:val="002F09D4"/>
    <w:rsid w:val="002F41F6"/>
    <w:rsid w:val="002F54A5"/>
    <w:rsid w:val="002F5745"/>
    <w:rsid w:val="00310F7E"/>
    <w:rsid w:val="003127CF"/>
    <w:rsid w:val="00312BC9"/>
    <w:rsid w:val="00313559"/>
    <w:rsid w:val="00321B29"/>
    <w:rsid w:val="003235E4"/>
    <w:rsid w:val="00324315"/>
    <w:rsid w:val="00326DE2"/>
    <w:rsid w:val="00341291"/>
    <w:rsid w:val="00341401"/>
    <w:rsid w:val="00341997"/>
    <w:rsid w:val="003426E1"/>
    <w:rsid w:val="00345F3D"/>
    <w:rsid w:val="003473A8"/>
    <w:rsid w:val="00350E50"/>
    <w:rsid w:val="00353CD9"/>
    <w:rsid w:val="00355CAC"/>
    <w:rsid w:val="00357462"/>
    <w:rsid w:val="00364F2D"/>
    <w:rsid w:val="0037224B"/>
    <w:rsid w:val="003955C3"/>
    <w:rsid w:val="00397538"/>
    <w:rsid w:val="003A206C"/>
    <w:rsid w:val="003A7652"/>
    <w:rsid w:val="003A7ECD"/>
    <w:rsid w:val="003B122E"/>
    <w:rsid w:val="003B41D9"/>
    <w:rsid w:val="003B7A24"/>
    <w:rsid w:val="003C1F2D"/>
    <w:rsid w:val="003C4F3E"/>
    <w:rsid w:val="003C50C7"/>
    <w:rsid w:val="003D04FF"/>
    <w:rsid w:val="003D21E2"/>
    <w:rsid w:val="003D4C83"/>
    <w:rsid w:val="003D7106"/>
    <w:rsid w:val="003E58E3"/>
    <w:rsid w:val="003E74C1"/>
    <w:rsid w:val="003F0109"/>
    <w:rsid w:val="003F4134"/>
    <w:rsid w:val="004036D5"/>
    <w:rsid w:val="00404440"/>
    <w:rsid w:val="00412D2C"/>
    <w:rsid w:val="004153B2"/>
    <w:rsid w:val="0041654D"/>
    <w:rsid w:val="0041681A"/>
    <w:rsid w:val="004213AC"/>
    <w:rsid w:val="004216FC"/>
    <w:rsid w:val="004218A1"/>
    <w:rsid w:val="0042198D"/>
    <w:rsid w:val="00422DF0"/>
    <w:rsid w:val="0043345E"/>
    <w:rsid w:val="00445E49"/>
    <w:rsid w:val="00457194"/>
    <w:rsid w:val="00462935"/>
    <w:rsid w:val="00464786"/>
    <w:rsid w:val="00464F4B"/>
    <w:rsid w:val="004654B0"/>
    <w:rsid w:val="004714F8"/>
    <w:rsid w:val="004717DE"/>
    <w:rsid w:val="0047181C"/>
    <w:rsid w:val="00472F8A"/>
    <w:rsid w:val="00474862"/>
    <w:rsid w:val="00474E18"/>
    <w:rsid w:val="00474EA4"/>
    <w:rsid w:val="004762A7"/>
    <w:rsid w:val="00481F3A"/>
    <w:rsid w:val="00482799"/>
    <w:rsid w:val="0048279D"/>
    <w:rsid w:val="004834CA"/>
    <w:rsid w:val="00483EED"/>
    <w:rsid w:val="00485C1F"/>
    <w:rsid w:val="00487EA8"/>
    <w:rsid w:val="00493E81"/>
    <w:rsid w:val="004942F9"/>
    <w:rsid w:val="00495A9F"/>
    <w:rsid w:val="004A1879"/>
    <w:rsid w:val="004A2E54"/>
    <w:rsid w:val="004A3DB9"/>
    <w:rsid w:val="004A51E9"/>
    <w:rsid w:val="004B0409"/>
    <w:rsid w:val="004B36B5"/>
    <w:rsid w:val="004B738B"/>
    <w:rsid w:val="004C7404"/>
    <w:rsid w:val="004D081D"/>
    <w:rsid w:val="004D32F1"/>
    <w:rsid w:val="004D5394"/>
    <w:rsid w:val="004F0B13"/>
    <w:rsid w:val="004F1281"/>
    <w:rsid w:val="004F493B"/>
    <w:rsid w:val="004F6FF9"/>
    <w:rsid w:val="00502AE5"/>
    <w:rsid w:val="00502CAF"/>
    <w:rsid w:val="00503597"/>
    <w:rsid w:val="005038CC"/>
    <w:rsid w:val="00503A31"/>
    <w:rsid w:val="00504BC9"/>
    <w:rsid w:val="005121FB"/>
    <w:rsid w:val="00516FAC"/>
    <w:rsid w:val="0051723E"/>
    <w:rsid w:val="005235C2"/>
    <w:rsid w:val="00523985"/>
    <w:rsid w:val="0053029D"/>
    <w:rsid w:val="0053662A"/>
    <w:rsid w:val="00536F05"/>
    <w:rsid w:val="0054208A"/>
    <w:rsid w:val="00545412"/>
    <w:rsid w:val="0054793A"/>
    <w:rsid w:val="00550A74"/>
    <w:rsid w:val="0055413C"/>
    <w:rsid w:val="0055420D"/>
    <w:rsid w:val="005609FD"/>
    <w:rsid w:val="00561D81"/>
    <w:rsid w:val="00564FA0"/>
    <w:rsid w:val="005732D6"/>
    <w:rsid w:val="00577D8B"/>
    <w:rsid w:val="00581B91"/>
    <w:rsid w:val="00582A50"/>
    <w:rsid w:val="00582B27"/>
    <w:rsid w:val="00586BC1"/>
    <w:rsid w:val="00590710"/>
    <w:rsid w:val="005A1A83"/>
    <w:rsid w:val="005A38A8"/>
    <w:rsid w:val="005A38CA"/>
    <w:rsid w:val="005A7D40"/>
    <w:rsid w:val="005B2FC5"/>
    <w:rsid w:val="005B49D6"/>
    <w:rsid w:val="005B587E"/>
    <w:rsid w:val="005B65F3"/>
    <w:rsid w:val="005B6991"/>
    <w:rsid w:val="005B7D47"/>
    <w:rsid w:val="005C512C"/>
    <w:rsid w:val="005D2037"/>
    <w:rsid w:val="005D76E6"/>
    <w:rsid w:val="005E1F42"/>
    <w:rsid w:val="005E24FE"/>
    <w:rsid w:val="005E3BF9"/>
    <w:rsid w:val="005E4692"/>
    <w:rsid w:val="005F0A02"/>
    <w:rsid w:val="005F43B7"/>
    <w:rsid w:val="005F4817"/>
    <w:rsid w:val="00600253"/>
    <w:rsid w:val="00600882"/>
    <w:rsid w:val="00601746"/>
    <w:rsid w:val="006042EE"/>
    <w:rsid w:val="00604E77"/>
    <w:rsid w:val="006131B4"/>
    <w:rsid w:val="006143C5"/>
    <w:rsid w:val="006153EB"/>
    <w:rsid w:val="006169D3"/>
    <w:rsid w:val="006258E2"/>
    <w:rsid w:val="00636511"/>
    <w:rsid w:val="0063737F"/>
    <w:rsid w:val="006438A5"/>
    <w:rsid w:val="006438CD"/>
    <w:rsid w:val="00651D82"/>
    <w:rsid w:val="006637BC"/>
    <w:rsid w:val="00663BA8"/>
    <w:rsid w:val="00663FA9"/>
    <w:rsid w:val="00665A75"/>
    <w:rsid w:val="00665BF2"/>
    <w:rsid w:val="00665CE6"/>
    <w:rsid w:val="00666EA9"/>
    <w:rsid w:val="00667A0E"/>
    <w:rsid w:val="0067345C"/>
    <w:rsid w:val="00673A19"/>
    <w:rsid w:val="00673D65"/>
    <w:rsid w:val="00677FD0"/>
    <w:rsid w:val="00683930"/>
    <w:rsid w:val="0069239A"/>
    <w:rsid w:val="00692620"/>
    <w:rsid w:val="00697131"/>
    <w:rsid w:val="00697FE6"/>
    <w:rsid w:val="006A2D0A"/>
    <w:rsid w:val="006B30F6"/>
    <w:rsid w:val="006B4297"/>
    <w:rsid w:val="006C052E"/>
    <w:rsid w:val="006C5C26"/>
    <w:rsid w:val="006C7FFA"/>
    <w:rsid w:val="006D5362"/>
    <w:rsid w:val="006E3283"/>
    <w:rsid w:val="006F1072"/>
    <w:rsid w:val="006F1F7A"/>
    <w:rsid w:val="006F22FF"/>
    <w:rsid w:val="006F6F7E"/>
    <w:rsid w:val="006F7AAF"/>
    <w:rsid w:val="00700A91"/>
    <w:rsid w:val="0070297B"/>
    <w:rsid w:val="007034C2"/>
    <w:rsid w:val="00703B18"/>
    <w:rsid w:val="007048D4"/>
    <w:rsid w:val="007101C6"/>
    <w:rsid w:val="007130C4"/>
    <w:rsid w:val="00717B14"/>
    <w:rsid w:val="00722C1A"/>
    <w:rsid w:val="007253C5"/>
    <w:rsid w:val="007272E1"/>
    <w:rsid w:val="0073722B"/>
    <w:rsid w:val="00740103"/>
    <w:rsid w:val="0074093B"/>
    <w:rsid w:val="00742C37"/>
    <w:rsid w:val="00754052"/>
    <w:rsid w:val="007575DB"/>
    <w:rsid w:val="007614CA"/>
    <w:rsid w:val="00762896"/>
    <w:rsid w:val="007703EE"/>
    <w:rsid w:val="007706C5"/>
    <w:rsid w:val="00773E9F"/>
    <w:rsid w:val="00776715"/>
    <w:rsid w:val="00780FF9"/>
    <w:rsid w:val="007825E7"/>
    <w:rsid w:val="0078757C"/>
    <w:rsid w:val="00790F51"/>
    <w:rsid w:val="00792D80"/>
    <w:rsid w:val="00793478"/>
    <w:rsid w:val="00793577"/>
    <w:rsid w:val="00796627"/>
    <w:rsid w:val="007A2447"/>
    <w:rsid w:val="007B0F69"/>
    <w:rsid w:val="007B107D"/>
    <w:rsid w:val="007B3DA5"/>
    <w:rsid w:val="007C58E4"/>
    <w:rsid w:val="007D0681"/>
    <w:rsid w:val="007D1E9E"/>
    <w:rsid w:val="007D3BF9"/>
    <w:rsid w:val="007D529A"/>
    <w:rsid w:val="007D7346"/>
    <w:rsid w:val="007E17C7"/>
    <w:rsid w:val="007E2F16"/>
    <w:rsid w:val="007E30D9"/>
    <w:rsid w:val="007E43A3"/>
    <w:rsid w:val="007E6CA0"/>
    <w:rsid w:val="007E785C"/>
    <w:rsid w:val="007F0486"/>
    <w:rsid w:val="007F1123"/>
    <w:rsid w:val="007F42AC"/>
    <w:rsid w:val="007F4F02"/>
    <w:rsid w:val="007F6B75"/>
    <w:rsid w:val="00801641"/>
    <w:rsid w:val="00807BFF"/>
    <w:rsid w:val="0081681F"/>
    <w:rsid w:val="00821D12"/>
    <w:rsid w:val="00823583"/>
    <w:rsid w:val="00832AA4"/>
    <w:rsid w:val="00843BBA"/>
    <w:rsid w:val="008522F1"/>
    <w:rsid w:val="00860758"/>
    <w:rsid w:val="00863669"/>
    <w:rsid w:val="00867DB2"/>
    <w:rsid w:val="00871E89"/>
    <w:rsid w:val="00872BE5"/>
    <w:rsid w:val="0088064F"/>
    <w:rsid w:val="008857E2"/>
    <w:rsid w:val="00886069"/>
    <w:rsid w:val="0089278C"/>
    <w:rsid w:val="008957C7"/>
    <w:rsid w:val="00896FBA"/>
    <w:rsid w:val="008A48F6"/>
    <w:rsid w:val="008A5658"/>
    <w:rsid w:val="008A56AB"/>
    <w:rsid w:val="008A7240"/>
    <w:rsid w:val="008B41C1"/>
    <w:rsid w:val="008C16A6"/>
    <w:rsid w:val="008C3E4C"/>
    <w:rsid w:val="008C47AC"/>
    <w:rsid w:val="008C5FB7"/>
    <w:rsid w:val="008C676C"/>
    <w:rsid w:val="008E0B78"/>
    <w:rsid w:val="008E2F84"/>
    <w:rsid w:val="008E3F92"/>
    <w:rsid w:val="008E5586"/>
    <w:rsid w:val="008F0E0A"/>
    <w:rsid w:val="008F638F"/>
    <w:rsid w:val="008F6FE7"/>
    <w:rsid w:val="008F7C99"/>
    <w:rsid w:val="00902CC2"/>
    <w:rsid w:val="0090551A"/>
    <w:rsid w:val="009058FD"/>
    <w:rsid w:val="00905D96"/>
    <w:rsid w:val="00911190"/>
    <w:rsid w:val="00912A1A"/>
    <w:rsid w:val="009148D8"/>
    <w:rsid w:val="009169E4"/>
    <w:rsid w:val="009201FE"/>
    <w:rsid w:val="009242EE"/>
    <w:rsid w:val="00924D18"/>
    <w:rsid w:val="00925993"/>
    <w:rsid w:val="00930B50"/>
    <w:rsid w:val="00931EBB"/>
    <w:rsid w:val="0093561E"/>
    <w:rsid w:val="009371A3"/>
    <w:rsid w:val="00942095"/>
    <w:rsid w:val="00944C70"/>
    <w:rsid w:val="00952A1B"/>
    <w:rsid w:val="00953BCE"/>
    <w:rsid w:val="00953FAF"/>
    <w:rsid w:val="009556D8"/>
    <w:rsid w:val="009559B0"/>
    <w:rsid w:val="0095793C"/>
    <w:rsid w:val="00964F9A"/>
    <w:rsid w:val="009675C6"/>
    <w:rsid w:val="00970EEF"/>
    <w:rsid w:val="009726D8"/>
    <w:rsid w:val="00975A34"/>
    <w:rsid w:val="00981203"/>
    <w:rsid w:val="0098296F"/>
    <w:rsid w:val="009973A0"/>
    <w:rsid w:val="009974B5"/>
    <w:rsid w:val="009A0239"/>
    <w:rsid w:val="009A4D73"/>
    <w:rsid w:val="009A66C1"/>
    <w:rsid w:val="009A7038"/>
    <w:rsid w:val="009C2DA2"/>
    <w:rsid w:val="009C633D"/>
    <w:rsid w:val="009C6633"/>
    <w:rsid w:val="009D341F"/>
    <w:rsid w:val="009D5A8A"/>
    <w:rsid w:val="009D5BA7"/>
    <w:rsid w:val="009D71EE"/>
    <w:rsid w:val="009E1B2B"/>
    <w:rsid w:val="009E4FDD"/>
    <w:rsid w:val="009F0AD3"/>
    <w:rsid w:val="009F0E80"/>
    <w:rsid w:val="009F229C"/>
    <w:rsid w:val="009F717B"/>
    <w:rsid w:val="009F73CC"/>
    <w:rsid w:val="009F7A32"/>
    <w:rsid w:val="00A02690"/>
    <w:rsid w:val="00A04B4D"/>
    <w:rsid w:val="00A0519B"/>
    <w:rsid w:val="00A07D3A"/>
    <w:rsid w:val="00A12151"/>
    <w:rsid w:val="00A121A8"/>
    <w:rsid w:val="00A13D7B"/>
    <w:rsid w:val="00A20801"/>
    <w:rsid w:val="00A20D11"/>
    <w:rsid w:val="00A20F2E"/>
    <w:rsid w:val="00A23418"/>
    <w:rsid w:val="00A24B27"/>
    <w:rsid w:val="00A3036F"/>
    <w:rsid w:val="00A30441"/>
    <w:rsid w:val="00A304EC"/>
    <w:rsid w:val="00A374BF"/>
    <w:rsid w:val="00A37D22"/>
    <w:rsid w:val="00A418BA"/>
    <w:rsid w:val="00A4561D"/>
    <w:rsid w:val="00A50017"/>
    <w:rsid w:val="00A52418"/>
    <w:rsid w:val="00A6319E"/>
    <w:rsid w:val="00A638CC"/>
    <w:rsid w:val="00A730EA"/>
    <w:rsid w:val="00A766BA"/>
    <w:rsid w:val="00A80D01"/>
    <w:rsid w:val="00A90C3C"/>
    <w:rsid w:val="00A96531"/>
    <w:rsid w:val="00A97386"/>
    <w:rsid w:val="00AA2AB7"/>
    <w:rsid w:val="00AA5BE9"/>
    <w:rsid w:val="00AA7F12"/>
    <w:rsid w:val="00AB12E3"/>
    <w:rsid w:val="00AB78C2"/>
    <w:rsid w:val="00AC071C"/>
    <w:rsid w:val="00AC2277"/>
    <w:rsid w:val="00AD0813"/>
    <w:rsid w:val="00AD35A0"/>
    <w:rsid w:val="00AD4D4C"/>
    <w:rsid w:val="00AF4192"/>
    <w:rsid w:val="00AF6FCF"/>
    <w:rsid w:val="00B012A7"/>
    <w:rsid w:val="00B10B06"/>
    <w:rsid w:val="00B11071"/>
    <w:rsid w:val="00B163C1"/>
    <w:rsid w:val="00B171D8"/>
    <w:rsid w:val="00B2458A"/>
    <w:rsid w:val="00B256A5"/>
    <w:rsid w:val="00B2694C"/>
    <w:rsid w:val="00B27B3B"/>
    <w:rsid w:val="00B310B0"/>
    <w:rsid w:val="00B438A6"/>
    <w:rsid w:val="00B508BF"/>
    <w:rsid w:val="00B52FDE"/>
    <w:rsid w:val="00B53508"/>
    <w:rsid w:val="00B5401E"/>
    <w:rsid w:val="00B56FA7"/>
    <w:rsid w:val="00B5770A"/>
    <w:rsid w:val="00B60509"/>
    <w:rsid w:val="00B645C2"/>
    <w:rsid w:val="00B651E5"/>
    <w:rsid w:val="00B65B99"/>
    <w:rsid w:val="00B713D4"/>
    <w:rsid w:val="00B71868"/>
    <w:rsid w:val="00B740F5"/>
    <w:rsid w:val="00B741CD"/>
    <w:rsid w:val="00B7429D"/>
    <w:rsid w:val="00B806A4"/>
    <w:rsid w:val="00B8265A"/>
    <w:rsid w:val="00B82B17"/>
    <w:rsid w:val="00B85B83"/>
    <w:rsid w:val="00B86B3C"/>
    <w:rsid w:val="00B8758E"/>
    <w:rsid w:val="00B9006C"/>
    <w:rsid w:val="00B936FA"/>
    <w:rsid w:val="00BA1E61"/>
    <w:rsid w:val="00BB1534"/>
    <w:rsid w:val="00BB1FC8"/>
    <w:rsid w:val="00BB3360"/>
    <w:rsid w:val="00BB5E7C"/>
    <w:rsid w:val="00BB6629"/>
    <w:rsid w:val="00BC3A8E"/>
    <w:rsid w:val="00BD0291"/>
    <w:rsid w:val="00BD3D85"/>
    <w:rsid w:val="00BD44BF"/>
    <w:rsid w:val="00BD74F2"/>
    <w:rsid w:val="00BE1388"/>
    <w:rsid w:val="00BE1428"/>
    <w:rsid w:val="00BE1800"/>
    <w:rsid w:val="00BE54D7"/>
    <w:rsid w:val="00BF6373"/>
    <w:rsid w:val="00BF6F1F"/>
    <w:rsid w:val="00BF7516"/>
    <w:rsid w:val="00C0189F"/>
    <w:rsid w:val="00C0194A"/>
    <w:rsid w:val="00C061EA"/>
    <w:rsid w:val="00C10AAC"/>
    <w:rsid w:val="00C1587E"/>
    <w:rsid w:val="00C159B7"/>
    <w:rsid w:val="00C20D47"/>
    <w:rsid w:val="00C21A5F"/>
    <w:rsid w:val="00C23905"/>
    <w:rsid w:val="00C31670"/>
    <w:rsid w:val="00C319DD"/>
    <w:rsid w:val="00C31B29"/>
    <w:rsid w:val="00C34F12"/>
    <w:rsid w:val="00C404AD"/>
    <w:rsid w:val="00C4453B"/>
    <w:rsid w:val="00C457F0"/>
    <w:rsid w:val="00C47E11"/>
    <w:rsid w:val="00C47E55"/>
    <w:rsid w:val="00C50E05"/>
    <w:rsid w:val="00C52CCD"/>
    <w:rsid w:val="00C52E89"/>
    <w:rsid w:val="00C60DD4"/>
    <w:rsid w:val="00C62C9A"/>
    <w:rsid w:val="00C65370"/>
    <w:rsid w:val="00C66140"/>
    <w:rsid w:val="00C66674"/>
    <w:rsid w:val="00C759C8"/>
    <w:rsid w:val="00C808BD"/>
    <w:rsid w:val="00C8593E"/>
    <w:rsid w:val="00C87DBE"/>
    <w:rsid w:val="00C918A6"/>
    <w:rsid w:val="00C94951"/>
    <w:rsid w:val="00C9757F"/>
    <w:rsid w:val="00C97B6A"/>
    <w:rsid w:val="00CA20AC"/>
    <w:rsid w:val="00CA669A"/>
    <w:rsid w:val="00CA7D69"/>
    <w:rsid w:val="00CB0B08"/>
    <w:rsid w:val="00CB7A55"/>
    <w:rsid w:val="00CB7CAB"/>
    <w:rsid w:val="00CC0302"/>
    <w:rsid w:val="00CC1305"/>
    <w:rsid w:val="00CC570B"/>
    <w:rsid w:val="00CC6749"/>
    <w:rsid w:val="00CD22BE"/>
    <w:rsid w:val="00CD46A5"/>
    <w:rsid w:val="00CD6107"/>
    <w:rsid w:val="00CE0FD0"/>
    <w:rsid w:val="00CE67A8"/>
    <w:rsid w:val="00CF1883"/>
    <w:rsid w:val="00D039E2"/>
    <w:rsid w:val="00D04DBA"/>
    <w:rsid w:val="00D05DBD"/>
    <w:rsid w:val="00D11000"/>
    <w:rsid w:val="00D15EA2"/>
    <w:rsid w:val="00D15F5D"/>
    <w:rsid w:val="00D20CD7"/>
    <w:rsid w:val="00D22CBF"/>
    <w:rsid w:val="00D261B7"/>
    <w:rsid w:val="00D2750A"/>
    <w:rsid w:val="00D27D23"/>
    <w:rsid w:val="00D31137"/>
    <w:rsid w:val="00D318AA"/>
    <w:rsid w:val="00D41795"/>
    <w:rsid w:val="00D44ACC"/>
    <w:rsid w:val="00D4590F"/>
    <w:rsid w:val="00D46225"/>
    <w:rsid w:val="00D4765C"/>
    <w:rsid w:val="00D52DA2"/>
    <w:rsid w:val="00D55042"/>
    <w:rsid w:val="00D57909"/>
    <w:rsid w:val="00D6132B"/>
    <w:rsid w:val="00D642FF"/>
    <w:rsid w:val="00D66F04"/>
    <w:rsid w:val="00D673F7"/>
    <w:rsid w:val="00D67E25"/>
    <w:rsid w:val="00D757F3"/>
    <w:rsid w:val="00D8028D"/>
    <w:rsid w:val="00D831C4"/>
    <w:rsid w:val="00D84CCE"/>
    <w:rsid w:val="00D906EC"/>
    <w:rsid w:val="00D97C5C"/>
    <w:rsid w:val="00D97DB0"/>
    <w:rsid w:val="00DA275F"/>
    <w:rsid w:val="00DA3378"/>
    <w:rsid w:val="00DA6E6D"/>
    <w:rsid w:val="00DA7A90"/>
    <w:rsid w:val="00DA7F8B"/>
    <w:rsid w:val="00DB063B"/>
    <w:rsid w:val="00DB4DBA"/>
    <w:rsid w:val="00DC11CA"/>
    <w:rsid w:val="00DC6DA8"/>
    <w:rsid w:val="00DC7594"/>
    <w:rsid w:val="00DE1C74"/>
    <w:rsid w:val="00DE2896"/>
    <w:rsid w:val="00DE3510"/>
    <w:rsid w:val="00DE6782"/>
    <w:rsid w:val="00DF13EB"/>
    <w:rsid w:val="00DF203C"/>
    <w:rsid w:val="00DF653B"/>
    <w:rsid w:val="00E0348B"/>
    <w:rsid w:val="00E0439F"/>
    <w:rsid w:val="00E10184"/>
    <w:rsid w:val="00E10A59"/>
    <w:rsid w:val="00E117F8"/>
    <w:rsid w:val="00E141A4"/>
    <w:rsid w:val="00E17E53"/>
    <w:rsid w:val="00E2477B"/>
    <w:rsid w:val="00E407E4"/>
    <w:rsid w:val="00E419FB"/>
    <w:rsid w:val="00E43885"/>
    <w:rsid w:val="00E4417E"/>
    <w:rsid w:val="00E441CE"/>
    <w:rsid w:val="00E478FE"/>
    <w:rsid w:val="00E47C4C"/>
    <w:rsid w:val="00E52E0E"/>
    <w:rsid w:val="00E54482"/>
    <w:rsid w:val="00E575B0"/>
    <w:rsid w:val="00E57F4F"/>
    <w:rsid w:val="00E61081"/>
    <w:rsid w:val="00E61909"/>
    <w:rsid w:val="00E62789"/>
    <w:rsid w:val="00E642AB"/>
    <w:rsid w:val="00E667C0"/>
    <w:rsid w:val="00E6735E"/>
    <w:rsid w:val="00E707A5"/>
    <w:rsid w:val="00E73E73"/>
    <w:rsid w:val="00E77AD4"/>
    <w:rsid w:val="00E809CB"/>
    <w:rsid w:val="00E814BA"/>
    <w:rsid w:val="00E8314C"/>
    <w:rsid w:val="00E83745"/>
    <w:rsid w:val="00E9106A"/>
    <w:rsid w:val="00E91ED1"/>
    <w:rsid w:val="00E924CB"/>
    <w:rsid w:val="00E949C0"/>
    <w:rsid w:val="00EA097E"/>
    <w:rsid w:val="00EA0D53"/>
    <w:rsid w:val="00EA3FA8"/>
    <w:rsid w:val="00EB5F43"/>
    <w:rsid w:val="00EC00DD"/>
    <w:rsid w:val="00EC11AC"/>
    <w:rsid w:val="00EC2008"/>
    <w:rsid w:val="00EC267C"/>
    <w:rsid w:val="00EC359E"/>
    <w:rsid w:val="00ED03CA"/>
    <w:rsid w:val="00ED5975"/>
    <w:rsid w:val="00ED7184"/>
    <w:rsid w:val="00ED7707"/>
    <w:rsid w:val="00EE4D7F"/>
    <w:rsid w:val="00EF0158"/>
    <w:rsid w:val="00EF15E1"/>
    <w:rsid w:val="00EF1F93"/>
    <w:rsid w:val="00EF5772"/>
    <w:rsid w:val="00EF57E8"/>
    <w:rsid w:val="00F027DF"/>
    <w:rsid w:val="00F0322A"/>
    <w:rsid w:val="00F04E31"/>
    <w:rsid w:val="00F10FC7"/>
    <w:rsid w:val="00F15DAE"/>
    <w:rsid w:val="00F220D0"/>
    <w:rsid w:val="00F25782"/>
    <w:rsid w:val="00F309E5"/>
    <w:rsid w:val="00F36EE2"/>
    <w:rsid w:val="00F40EDD"/>
    <w:rsid w:val="00F43B4D"/>
    <w:rsid w:val="00F444B9"/>
    <w:rsid w:val="00F460CE"/>
    <w:rsid w:val="00F5060A"/>
    <w:rsid w:val="00F53840"/>
    <w:rsid w:val="00F55DED"/>
    <w:rsid w:val="00F63D62"/>
    <w:rsid w:val="00F7093A"/>
    <w:rsid w:val="00F75F9E"/>
    <w:rsid w:val="00F76860"/>
    <w:rsid w:val="00F80895"/>
    <w:rsid w:val="00F848C8"/>
    <w:rsid w:val="00F94558"/>
    <w:rsid w:val="00F9460F"/>
    <w:rsid w:val="00F965AD"/>
    <w:rsid w:val="00FA4C85"/>
    <w:rsid w:val="00FA7815"/>
    <w:rsid w:val="00FB138C"/>
    <w:rsid w:val="00FB6872"/>
    <w:rsid w:val="00FB6D9A"/>
    <w:rsid w:val="00FC1823"/>
    <w:rsid w:val="00FD2D6C"/>
    <w:rsid w:val="00FD445C"/>
    <w:rsid w:val="00FD5572"/>
    <w:rsid w:val="00FD6030"/>
    <w:rsid w:val="00FD62A2"/>
    <w:rsid w:val="00FE5698"/>
    <w:rsid w:val="00FE7C55"/>
    <w:rsid w:val="00FF00B2"/>
    <w:rsid w:val="00FF2CF7"/>
    <w:rsid w:val="00FF2ED3"/>
    <w:rsid w:val="00FF33B2"/>
    <w:rsid w:val="00FF46BC"/>
    <w:rsid w:val="00FF49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F7CCA297-8274-4B94-90E6-E261F7F38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C7266"/>
    <w:pPr>
      <w:spacing w:before="120" w:after="120" w:line="288" w:lineRule="auto"/>
      <w:ind w:left="357" w:firstLine="357"/>
    </w:pPr>
    <w:rPr>
      <w:rFonts w:ascii="Calibri" w:hAnsi="Calibri"/>
      <w:sz w:val="20"/>
    </w:rPr>
  </w:style>
  <w:style w:type="paragraph" w:styleId="Nadpis1">
    <w:name w:val="heading 1"/>
    <w:basedOn w:val="Normlny"/>
    <w:next w:val="Zkladntext"/>
    <w:link w:val="Nadpis1Char"/>
    <w:qFormat/>
    <w:rsid w:val="004153B2"/>
    <w:pPr>
      <w:pageBreakBefore/>
      <w:numPr>
        <w:numId w:val="2"/>
      </w:numPr>
      <w:spacing w:after="240" w:line="240" w:lineRule="auto"/>
      <w:outlineLvl w:val="0"/>
    </w:pPr>
    <w:rPr>
      <w:rFonts w:ascii="Arial Narrow" w:hAnsi="Arial Narrow"/>
      <w:color w:val="1F497D"/>
      <w:sz w:val="32"/>
    </w:rPr>
  </w:style>
  <w:style w:type="paragraph" w:styleId="Nadpis2">
    <w:name w:val="heading 2"/>
    <w:basedOn w:val="Normlny"/>
    <w:link w:val="Nadpis2Char"/>
    <w:qFormat/>
    <w:rsid w:val="00863669"/>
    <w:pPr>
      <w:keepNext/>
      <w:numPr>
        <w:ilvl w:val="1"/>
        <w:numId w:val="2"/>
      </w:numPr>
      <w:spacing w:after="180" w:line="240" w:lineRule="auto"/>
      <w:outlineLvl w:val="1"/>
    </w:pPr>
    <w:rPr>
      <w:rFonts w:ascii="Arial Narrow" w:hAnsi="Arial Narrow"/>
      <w:color w:val="4F81BD"/>
      <w:sz w:val="28"/>
    </w:rPr>
  </w:style>
  <w:style w:type="paragraph" w:styleId="Nadpis3">
    <w:name w:val="heading 3"/>
    <w:basedOn w:val="Nadpis4"/>
    <w:next w:val="Zkladntext"/>
    <w:link w:val="Nadpis3Char"/>
    <w:qFormat/>
    <w:rsid w:val="004A2E54"/>
    <w:pPr>
      <w:numPr>
        <w:ilvl w:val="2"/>
        <w:numId w:val="2"/>
      </w:numPr>
      <w:outlineLvl w:val="2"/>
    </w:pPr>
    <w:rPr>
      <w:i w:val="0"/>
    </w:rPr>
  </w:style>
  <w:style w:type="paragraph" w:styleId="Nadpis4">
    <w:name w:val="heading 4"/>
    <w:basedOn w:val="Nadpis5"/>
    <w:next w:val="Zkladntext"/>
    <w:link w:val="Nadpis4Char"/>
    <w:qFormat/>
    <w:rsid w:val="004A2E54"/>
    <w:pPr>
      <w:keepLines w:val="0"/>
      <w:numPr>
        <w:ilvl w:val="3"/>
        <w:numId w:val="1"/>
      </w:numPr>
      <w:tabs>
        <w:tab w:val="clear" w:pos="20"/>
        <w:tab w:val="left" w:pos="0"/>
      </w:tabs>
      <w:spacing w:before="400" w:line="280" w:lineRule="exact"/>
      <w:outlineLvl w:val="3"/>
    </w:pPr>
    <w:rPr>
      <w:rFonts w:ascii="Times New Roman" w:eastAsia="Times New Roman" w:hAnsi="Times New Roman" w:cs="Times New Roman"/>
      <w:b/>
      <w:i/>
      <w:color w:val="auto"/>
      <w:sz w:val="24"/>
      <w:szCs w:val="20"/>
    </w:rPr>
  </w:style>
  <w:style w:type="paragraph" w:styleId="Nadpis5">
    <w:name w:val="heading 5"/>
    <w:basedOn w:val="Normlny"/>
    <w:next w:val="Normlny"/>
    <w:link w:val="Nadpis5Char"/>
    <w:unhideWhenUsed/>
    <w:qFormat/>
    <w:rsid w:val="004A2E54"/>
    <w:pPr>
      <w:keepNext/>
      <w:keepLines/>
      <w:spacing w:before="200" w:after="0"/>
      <w:outlineLvl w:val="4"/>
    </w:pPr>
    <w:rPr>
      <w:rFonts w:asciiTheme="majorHAnsi" w:eastAsiaTheme="majorEastAsia" w:hAnsiTheme="majorHAnsi" w:cstheme="majorBidi"/>
      <w:color w:val="00133A" w:themeColor="accent1" w:themeShade="7F"/>
    </w:rPr>
  </w:style>
  <w:style w:type="paragraph" w:styleId="Nadpis6">
    <w:name w:val="heading 6"/>
    <w:basedOn w:val="Normlny"/>
    <w:next w:val="Normlny"/>
    <w:link w:val="Nadpis6Char"/>
    <w:unhideWhenUsed/>
    <w:qFormat/>
    <w:rsid w:val="00080CFF"/>
    <w:pPr>
      <w:keepNext/>
      <w:keepLines/>
      <w:spacing w:before="240" w:after="240" w:line="240" w:lineRule="auto"/>
      <w:ind w:left="1418" w:hanging="1418"/>
      <w:outlineLvl w:val="5"/>
    </w:pPr>
    <w:rPr>
      <w:rFonts w:ascii="Times New Roman" w:eastAsia="Times New Roman" w:hAnsi="Times New Roman" w:cs="Times New Roman"/>
      <w:i/>
      <w:iCs/>
      <w:color w:val="00133A"/>
      <w:sz w:val="24"/>
      <w:szCs w:val="20"/>
    </w:rPr>
  </w:style>
  <w:style w:type="paragraph" w:styleId="Nadpis7">
    <w:name w:val="heading 7"/>
    <w:basedOn w:val="Normlny"/>
    <w:next w:val="Normlny"/>
    <w:link w:val="Nadpis7Char"/>
    <w:unhideWhenUsed/>
    <w:qFormat/>
    <w:rsid w:val="00080CFF"/>
    <w:pPr>
      <w:keepNext/>
      <w:keepLines/>
      <w:spacing w:before="240" w:after="240" w:line="240" w:lineRule="auto"/>
      <w:ind w:left="1576" w:hanging="1576"/>
      <w:outlineLvl w:val="6"/>
    </w:pPr>
    <w:rPr>
      <w:rFonts w:ascii="Times New Roman" w:eastAsia="Times New Roman" w:hAnsi="Times New Roman" w:cs="Times New Roman"/>
      <w:i/>
      <w:iCs/>
      <w:color w:val="404040"/>
      <w:sz w:val="22"/>
      <w:szCs w:val="20"/>
    </w:rPr>
  </w:style>
  <w:style w:type="paragraph" w:styleId="Nadpis8">
    <w:name w:val="heading 8"/>
    <w:basedOn w:val="Normlny"/>
    <w:next w:val="Normlny"/>
    <w:link w:val="Nadpis8Char"/>
    <w:semiHidden/>
    <w:unhideWhenUsed/>
    <w:qFormat/>
    <w:rsid w:val="00080CFF"/>
    <w:pPr>
      <w:keepNext/>
      <w:keepLines/>
      <w:spacing w:before="240" w:after="240" w:line="240" w:lineRule="auto"/>
      <w:ind w:left="1701" w:hanging="1701"/>
      <w:outlineLvl w:val="7"/>
    </w:pPr>
    <w:rPr>
      <w:rFonts w:ascii="Times New Roman" w:eastAsia="Times New Roman" w:hAnsi="Times New Roman" w:cs="Times New Roman"/>
      <w:i/>
      <w:color w:val="404040"/>
      <w:szCs w:val="20"/>
    </w:rPr>
  </w:style>
  <w:style w:type="paragraph" w:styleId="Nadpis9">
    <w:name w:val="heading 9"/>
    <w:basedOn w:val="Normlny"/>
    <w:next w:val="Normlny"/>
    <w:link w:val="Nadpis9Char"/>
    <w:semiHidden/>
    <w:unhideWhenUsed/>
    <w:qFormat/>
    <w:rsid w:val="00080CFF"/>
    <w:pPr>
      <w:keepNext/>
      <w:keepLines/>
      <w:spacing w:before="240" w:after="240" w:line="240" w:lineRule="auto"/>
      <w:ind w:left="1985" w:hanging="1985"/>
      <w:outlineLvl w:val="8"/>
    </w:pPr>
    <w:rPr>
      <w:rFonts w:ascii="Times New Roman" w:eastAsia="Times New Roman" w:hAnsi="Times New Roman" w:cs="Times New Roman"/>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FA781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A7815"/>
  </w:style>
  <w:style w:type="paragraph" w:styleId="Pta">
    <w:name w:val="footer"/>
    <w:basedOn w:val="Normlny"/>
    <w:link w:val="PtaChar"/>
    <w:uiPriority w:val="99"/>
    <w:unhideWhenUsed/>
    <w:rsid w:val="00FA7815"/>
    <w:pPr>
      <w:tabs>
        <w:tab w:val="center" w:pos="4536"/>
        <w:tab w:val="right" w:pos="9072"/>
      </w:tabs>
      <w:spacing w:after="0" w:line="240" w:lineRule="auto"/>
    </w:pPr>
  </w:style>
  <w:style w:type="character" w:customStyle="1" w:styleId="PtaChar">
    <w:name w:val="Päta Char"/>
    <w:basedOn w:val="Predvolenpsmoodseku"/>
    <w:link w:val="Pta"/>
    <w:uiPriority w:val="99"/>
    <w:rsid w:val="00FA7815"/>
  </w:style>
  <w:style w:type="paragraph" w:styleId="Textbubliny">
    <w:name w:val="Balloon Text"/>
    <w:basedOn w:val="Normlny"/>
    <w:link w:val="TextbublinyChar"/>
    <w:semiHidden/>
    <w:unhideWhenUsed/>
    <w:rsid w:val="00FA781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A7815"/>
    <w:rPr>
      <w:rFonts w:ascii="Tahoma" w:hAnsi="Tahoma" w:cs="Tahoma"/>
      <w:sz w:val="16"/>
      <w:szCs w:val="16"/>
    </w:rPr>
  </w:style>
  <w:style w:type="paragraph" w:styleId="Odsekzoznamu">
    <w:name w:val="List Paragraph"/>
    <w:aliases w:val="body,Odsek zoznamu2"/>
    <w:basedOn w:val="Normlny"/>
    <w:link w:val="OdsekzoznamuChar"/>
    <w:uiPriority w:val="34"/>
    <w:qFormat/>
    <w:rsid w:val="004A2E54"/>
    <w:pPr>
      <w:ind w:left="720"/>
      <w:contextualSpacing/>
    </w:pPr>
  </w:style>
  <w:style w:type="paragraph" w:styleId="Bezriadkovania">
    <w:name w:val="No Spacing"/>
    <w:link w:val="BezriadkovaniaChar"/>
    <w:uiPriority w:val="1"/>
    <w:qFormat/>
    <w:rsid w:val="004A2E54"/>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4A2E54"/>
    <w:rPr>
      <w:rFonts w:eastAsiaTheme="minorEastAsia"/>
      <w:lang w:eastAsia="sk-SK"/>
    </w:rPr>
  </w:style>
  <w:style w:type="paragraph" w:styleId="Textpoznmkypodiarou">
    <w:name w:val="footnote text"/>
    <w:aliases w:val="Text poznámky pod èiarou 007,Text poznámky pod čiarou 007,_Poznámka pod čiarou,Text poznámky pod eiarou 007,Stinking Styles2,Tekst przypisu- dokt,Char Char Char,Char Char Char Char Char Char Char Char Char,Char Char Ch,o,Car"/>
    <w:basedOn w:val="Normlny"/>
    <w:link w:val="TextpoznmkypodiarouChar"/>
    <w:unhideWhenUsed/>
    <w:rsid w:val="00516FAC"/>
    <w:pPr>
      <w:spacing w:after="0" w:line="240" w:lineRule="auto"/>
    </w:pPr>
    <w:rPr>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ar Char,Char Char Ch Char,o Char"/>
    <w:basedOn w:val="Predvolenpsmoodseku"/>
    <w:link w:val="Textpoznmkypodiarou"/>
    <w:rsid w:val="00516FAC"/>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nhideWhenUsed/>
    <w:rsid w:val="00516FAC"/>
    <w:rPr>
      <w:vertAlign w:val="superscript"/>
    </w:rPr>
  </w:style>
  <w:style w:type="paragraph" w:customStyle="1" w:styleId="Default">
    <w:name w:val="Default"/>
    <w:rsid w:val="00213FB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rsid w:val="004153B2"/>
    <w:rPr>
      <w:rFonts w:ascii="Arial Narrow" w:hAnsi="Arial Narrow"/>
      <w:color w:val="1F497D"/>
      <w:sz w:val="32"/>
    </w:rPr>
  </w:style>
  <w:style w:type="character" w:customStyle="1" w:styleId="Nadpis2Char">
    <w:name w:val="Nadpis 2 Char"/>
    <w:basedOn w:val="Predvolenpsmoodseku"/>
    <w:link w:val="Nadpis2"/>
    <w:rsid w:val="00863669"/>
    <w:rPr>
      <w:rFonts w:ascii="Arial Narrow" w:hAnsi="Arial Narrow"/>
      <w:color w:val="4F81BD"/>
      <w:sz w:val="28"/>
    </w:rPr>
  </w:style>
  <w:style w:type="character" w:customStyle="1" w:styleId="Nadpis3Char">
    <w:name w:val="Nadpis 3 Char"/>
    <w:basedOn w:val="Predvolenpsmoodseku"/>
    <w:link w:val="Nadpis3"/>
    <w:rsid w:val="004A2E54"/>
    <w:rPr>
      <w:rFonts w:ascii="Times New Roman" w:eastAsia="Times New Roman" w:hAnsi="Times New Roman" w:cs="Times New Roman"/>
      <w:b/>
      <w:sz w:val="24"/>
      <w:szCs w:val="20"/>
    </w:rPr>
  </w:style>
  <w:style w:type="character" w:customStyle="1" w:styleId="Nadpis4Char">
    <w:name w:val="Nadpis 4 Char"/>
    <w:basedOn w:val="Predvolenpsmoodseku"/>
    <w:link w:val="Nadpis4"/>
    <w:rsid w:val="004A2E54"/>
    <w:rPr>
      <w:rFonts w:ascii="Times New Roman" w:eastAsia="Times New Roman" w:hAnsi="Times New Roman" w:cs="Times New Roman"/>
      <w:b/>
      <w:i/>
      <w:sz w:val="24"/>
      <w:szCs w:val="20"/>
    </w:rPr>
  </w:style>
  <w:style w:type="paragraph" w:styleId="Zkladntext">
    <w:name w:val="Body Text"/>
    <w:basedOn w:val="Normlny"/>
    <w:link w:val="ZkladntextChar"/>
    <w:qFormat/>
    <w:rsid w:val="002C7266"/>
    <w:pPr>
      <w:numPr>
        <w:numId w:val="3"/>
      </w:numPr>
      <w:spacing w:before="60" w:after="60"/>
    </w:pPr>
    <w:rPr>
      <w:rFonts w:eastAsia="Times New Roman" w:cs="Times New Roman"/>
      <w:szCs w:val="20"/>
    </w:rPr>
  </w:style>
  <w:style w:type="character" w:customStyle="1" w:styleId="ZkladntextChar">
    <w:name w:val="Základný text Char"/>
    <w:basedOn w:val="Predvolenpsmoodseku"/>
    <w:link w:val="Zkladntext"/>
    <w:rsid w:val="002C7266"/>
    <w:rPr>
      <w:rFonts w:ascii="Calibri" w:eastAsia="Times New Roman" w:hAnsi="Calibri" w:cs="Times New Roman"/>
      <w:sz w:val="20"/>
      <w:szCs w:val="20"/>
    </w:rPr>
  </w:style>
  <w:style w:type="character" w:customStyle="1" w:styleId="OdsekzoznamuChar">
    <w:name w:val="Odsek zoznamu Char"/>
    <w:aliases w:val="body Char,Odsek zoznamu2 Char"/>
    <w:link w:val="Odsekzoznamu"/>
    <w:uiPriority w:val="34"/>
    <w:locked/>
    <w:rsid w:val="004A2E54"/>
  </w:style>
  <w:style w:type="character" w:customStyle="1" w:styleId="Nadpis5Char">
    <w:name w:val="Nadpis 5 Char"/>
    <w:basedOn w:val="Predvolenpsmoodseku"/>
    <w:link w:val="Nadpis5"/>
    <w:rsid w:val="004A2E54"/>
    <w:rPr>
      <w:rFonts w:asciiTheme="majorHAnsi" w:eastAsiaTheme="majorEastAsia" w:hAnsiTheme="majorHAnsi" w:cstheme="majorBidi"/>
      <w:color w:val="00133A" w:themeColor="accent1" w:themeShade="7F"/>
    </w:rPr>
  </w:style>
  <w:style w:type="character" w:styleId="Odkaznakomentr">
    <w:name w:val="annotation reference"/>
    <w:basedOn w:val="Predvolenpsmoodseku"/>
    <w:uiPriority w:val="99"/>
    <w:unhideWhenUsed/>
    <w:rsid w:val="0041681A"/>
    <w:rPr>
      <w:sz w:val="16"/>
      <w:szCs w:val="16"/>
    </w:rPr>
  </w:style>
  <w:style w:type="paragraph" w:styleId="Textkomentra">
    <w:name w:val="annotation text"/>
    <w:basedOn w:val="Normlny"/>
    <w:link w:val="TextkomentraChar"/>
    <w:uiPriority w:val="99"/>
    <w:unhideWhenUsed/>
    <w:rsid w:val="0041681A"/>
    <w:pPr>
      <w:spacing w:after="0" w:line="240" w:lineRule="auto"/>
    </w:pPr>
    <w:rPr>
      <w:rFonts w:ascii="Times New Roman" w:eastAsia="Times New Roman" w:hAnsi="Times New Roman" w:cs="Times New Roman"/>
      <w:szCs w:val="20"/>
      <w:lang w:val="en-US"/>
    </w:rPr>
  </w:style>
  <w:style w:type="character" w:customStyle="1" w:styleId="TextkomentraChar">
    <w:name w:val="Text komentára Char"/>
    <w:basedOn w:val="Predvolenpsmoodseku"/>
    <w:link w:val="Textkomentra"/>
    <w:uiPriority w:val="99"/>
    <w:rsid w:val="0041681A"/>
    <w:rPr>
      <w:rFonts w:ascii="Times New Roman" w:eastAsia="Times New Roman" w:hAnsi="Times New Roman" w:cs="Times New Roman"/>
      <w:sz w:val="20"/>
      <w:szCs w:val="20"/>
      <w:lang w:val="en-US"/>
    </w:rPr>
  </w:style>
  <w:style w:type="character" w:styleId="Hypertextovprepojenie">
    <w:name w:val="Hyperlink"/>
    <w:basedOn w:val="Predvolenpsmoodseku"/>
    <w:uiPriority w:val="99"/>
    <w:unhideWhenUsed/>
    <w:rsid w:val="000139A0"/>
    <w:rPr>
      <w:color w:val="3C8A2E" w:themeColor="hyperlink"/>
      <w:u w:val="single"/>
    </w:rPr>
  </w:style>
  <w:style w:type="table" w:styleId="Mriekatabuky">
    <w:name w:val="Table Grid"/>
    <w:aliases w:val="Deloitte table 3"/>
    <w:basedOn w:val="Normlnatabuka"/>
    <w:uiPriority w:val="59"/>
    <w:rsid w:val="00CA20AC"/>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unhideWhenUsed/>
    <w:rsid w:val="007B107D"/>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rsid w:val="007B107D"/>
    <w:rPr>
      <w:rFonts w:ascii="Times New Roman" w:eastAsia="Times New Roman" w:hAnsi="Times New Roman" w:cs="Times New Roman"/>
      <w:b/>
      <w:bCs/>
      <w:sz w:val="20"/>
      <w:szCs w:val="20"/>
      <w:lang w:val="en-US"/>
    </w:rPr>
  </w:style>
  <w:style w:type="paragraph" w:styleId="Revzia">
    <w:name w:val="Revision"/>
    <w:hidden/>
    <w:uiPriority w:val="99"/>
    <w:semiHidden/>
    <w:rsid w:val="007B107D"/>
    <w:pPr>
      <w:spacing w:after="0" w:line="240" w:lineRule="auto"/>
    </w:pPr>
  </w:style>
  <w:style w:type="paragraph" w:customStyle="1" w:styleId="BodyText1">
    <w:name w:val="Body Text1"/>
    <w:qFormat/>
    <w:rsid w:val="00863669"/>
    <w:pPr>
      <w:spacing w:before="120" w:after="120" w:line="288" w:lineRule="auto"/>
      <w:jc w:val="both"/>
    </w:pPr>
    <w:rPr>
      <w:rFonts w:ascii="Calibri" w:eastAsia="Times New Roman" w:hAnsi="Calibri" w:cs="Times New Roman"/>
      <w:color w:val="000000"/>
      <w:sz w:val="20"/>
      <w:szCs w:val="48"/>
      <w:lang w:val="cs-CZ"/>
    </w:rPr>
  </w:style>
  <w:style w:type="paragraph" w:styleId="Hlavikaobsahu">
    <w:name w:val="TOC Heading"/>
    <w:basedOn w:val="Nadpis1"/>
    <w:next w:val="Normlny"/>
    <w:uiPriority w:val="39"/>
    <w:semiHidden/>
    <w:unhideWhenUsed/>
    <w:qFormat/>
    <w:rsid w:val="006D5362"/>
    <w:pPr>
      <w:keepNext/>
      <w:keepLines/>
      <w:pageBreakBefore w:val="0"/>
      <w:numPr>
        <w:numId w:val="0"/>
      </w:numPr>
      <w:spacing w:before="480" w:after="0" w:line="276" w:lineRule="auto"/>
      <w:outlineLvl w:val="9"/>
    </w:pPr>
    <w:rPr>
      <w:rFonts w:asciiTheme="majorHAnsi" w:eastAsiaTheme="majorEastAsia" w:hAnsiTheme="majorHAnsi" w:cstheme="majorBidi"/>
      <w:b/>
      <w:bCs/>
      <w:color w:val="001D58" w:themeColor="accent1" w:themeShade="BF"/>
      <w:sz w:val="28"/>
      <w:szCs w:val="28"/>
      <w:lang w:val="en-US" w:eastAsia="ja-JP"/>
    </w:rPr>
  </w:style>
  <w:style w:type="paragraph" w:styleId="Obsah1">
    <w:name w:val="toc 1"/>
    <w:basedOn w:val="Normlny"/>
    <w:next w:val="Normlny"/>
    <w:autoRedefine/>
    <w:uiPriority w:val="39"/>
    <w:unhideWhenUsed/>
    <w:qFormat/>
    <w:rsid w:val="006D5362"/>
    <w:pPr>
      <w:spacing w:after="100"/>
      <w:ind w:left="0"/>
    </w:pPr>
  </w:style>
  <w:style w:type="paragraph" w:styleId="Obsah2">
    <w:name w:val="toc 2"/>
    <w:basedOn w:val="Normlny"/>
    <w:next w:val="Normlny"/>
    <w:autoRedefine/>
    <w:uiPriority w:val="39"/>
    <w:unhideWhenUsed/>
    <w:qFormat/>
    <w:rsid w:val="006D5362"/>
    <w:pPr>
      <w:spacing w:after="100"/>
      <w:ind w:left="200"/>
    </w:pPr>
  </w:style>
  <w:style w:type="paragraph" w:styleId="Obsah3">
    <w:name w:val="toc 3"/>
    <w:basedOn w:val="Normlny"/>
    <w:next w:val="Normlny"/>
    <w:autoRedefine/>
    <w:uiPriority w:val="39"/>
    <w:unhideWhenUsed/>
    <w:qFormat/>
    <w:rsid w:val="006D5362"/>
    <w:pPr>
      <w:spacing w:before="0" w:after="100" w:line="276" w:lineRule="auto"/>
      <w:ind w:left="440" w:firstLine="0"/>
    </w:pPr>
    <w:rPr>
      <w:rFonts w:asciiTheme="minorHAnsi" w:eastAsiaTheme="minorEastAsia" w:hAnsiTheme="minorHAnsi"/>
      <w:sz w:val="22"/>
      <w:lang w:val="en-US" w:eastAsia="ja-JP"/>
    </w:rPr>
  </w:style>
  <w:style w:type="character" w:customStyle="1" w:styleId="Nadpis6Char">
    <w:name w:val="Nadpis 6 Char"/>
    <w:basedOn w:val="Predvolenpsmoodseku"/>
    <w:link w:val="Nadpis6"/>
    <w:rsid w:val="00080CFF"/>
    <w:rPr>
      <w:rFonts w:ascii="Times New Roman" w:eastAsia="Times New Roman" w:hAnsi="Times New Roman" w:cs="Times New Roman"/>
      <w:i/>
      <w:iCs/>
      <w:color w:val="00133A"/>
      <w:sz w:val="24"/>
      <w:szCs w:val="20"/>
    </w:rPr>
  </w:style>
  <w:style w:type="character" w:customStyle="1" w:styleId="Nadpis7Char">
    <w:name w:val="Nadpis 7 Char"/>
    <w:basedOn w:val="Predvolenpsmoodseku"/>
    <w:link w:val="Nadpis7"/>
    <w:rsid w:val="00080CFF"/>
    <w:rPr>
      <w:rFonts w:ascii="Times New Roman" w:eastAsia="Times New Roman" w:hAnsi="Times New Roman" w:cs="Times New Roman"/>
      <w:i/>
      <w:iCs/>
      <w:color w:val="404040"/>
      <w:szCs w:val="20"/>
    </w:rPr>
  </w:style>
  <w:style w:type="character" w:customStyle="1" w:styleId="Nadpis8Char">
    <w:name w:val="Nadpis 8 Char"/>
    <w:basedOn w:val="Predvolenpsmoodseku"/>
    <w:link w:val="Nadpis8"/>
    <w:semiHidden/>
    <w:rsid w:val="00080CFF"/>
    <w:rPr>
      <w:rFonts w:ascii="Times New Roman" w:eastAsia="Times New Roman" w:hAnsi="Times New Roman" w:cs="Times New Roman"/>
      <w:i/>
      <w:color w:val="404040"/>
      <w:sz w:val="20"/>
      <w:szCs w:val="20"/>
    </w:rPr>
  </w:style>
  <w:style w:type="character" w:customStyle="1" w:styleId="Nadpis9Char">
    <w:name w:val="Nadpis 9 Char"/>
    <w:basedOn w:val="Predvolenpsmoodseku"/>
    <w:link w:val="Nadpis9"/>
    <w:semiHidden/>
    <w:rsid w:val="00080CFF"/>
    <w:rPr>
      <w:rFonts w:ascii="Times New Roman" w:eastAsia="Times New Roman" w:hAnsi="Times New Roman" w:cs="Times New Roman"/>
      <w:i/>
      <w:iCs/>
      <w:color w:val="404040"/>
      <w:sz w:val="18"/>
      <w:szCs w:val="20"/>
    </w:rPr>
  </w:style>
  <w:style w:type="character" w:styleId="slostrany">
    <w:name w:val="page number"/>
    <w:basedOn w:val="Predvolenpsmoodseku"/>
    <w:rsid w:val="00080CFF"/>
    <w:rPr>
      <w:rFonts w:ascii="Arial" w:hAnsi="Arial"/>
      <w:sz w:val="16"/>
    </w:rPr>
  </w:style>
  <w:style w:type="paragraph" w:customStyle="1" w:styleId="Legalentity">
    <w:name w:val="Legal entity"/>
    <w:basedOn w:val="Normlny"/>
    <w:rsid w:val="00080CFF"/>
    <w:pPr>
      <w:widowControl w:val="0"/>
      <w:suppressAutoHyphens/>
      <w:autoSpaceDE w:val="0"/>
      <w:autoSpaceDN w:val="0"/>
      <w:adjustRightInd w:val="0"/>
      <w:spacing w:before="0" w:after="90" w:line="180" w:lineRule="atLeast"/>
      <w:ind w:left="0" w:firstLine="0"/>
      <w:textAlignment w:val="center"/>
    </w:pPr>
    <w:rPr>
      <w:rFonts w:ascii="Times New Roman" w:eastAsia="Times New Roman" w:hAnsi="Times New Roman" w:cs="Times New Roman"/>
      <w:color w:val="000000"/>
      <w:sz w:val="16"/>
      <w:szCs w:val="20"/>
      <w:lang w:val="en-GB" w:eastAsia="en-GB"/>
    </w:rPr>
  </w:style>
  <w:style w:type="paragraph" w:customStyle="1" w:styleId="smlouvaheading1">
    <w:name w:val="smlouva heading 1"/>
    <w:next w:val="BodyText1"/>
    <w:qFormat/>
    <w:rsid w:val="00080CFF"/>
    <w:pPr>
      <w:numPr>
        <w:numId w:val="6"/>
      </w:numPr>
      <w:tabs>
        <w:tab w:val="left" w:pos="873"/>
      </w:tabs>
      <w:spacing w:before="240" w:after="120" w:line="240" w:lineRule="auto"/>
      <w:ind w:left="357" w:hanging="357"/>
      <w:jc w:val="both"/>
    </w:pPr>
    <w:rPr>
      <w:rFonts w:ascii="Arial" w:eastAsia="Times New Roman" w:hAnsi="Arial" w:cs="Times New Roman"/>
      <w:b/>
      <w:noProof/>
      <w:color w:val="000000"/>
      <w:sz w:val="19"/>
      <w:szCs w:val="24"/>
      <w:lang w:val="cs-CZ"/>
    </w:rPr>
  </w:style>
  <w:style w:type="paragraph" w:customStyle="1" w:styleId="CaptionIntroductionparagraph">
    <w:name w:val="Caption Introduction paragraph"/>
    <w:qFormat/>
    <w:rsid w:val="00080CFF"/>
    <w:pPr>
      <w:spacing w:after="0" w:line="240" w:lineRule="auto"/>
    </w:pPr>
    <w:rPr>
      <w:rFonts w:ascii="Arial" w:eastAsia="Times New Roman" w:hAnsi="Arial" w:cs="Times New Roman"/>
      <w:b/>
      <w:color w:val="00A1DE"/>
      <w:sz w:val="24"/>
      <w:lang w:val="cs-CZ"/>
    </w:rPr>
  </w:style>
  <w:style w:type="paragraph" w:customStyle="1" w:styleId="smlouvaheading2">
    <w:name w:val="smlouva heading 2"/>
    <w:basedOn w:val="CaptionIntroductionparagraph"/>
    <w:next w:val="BodyText1"/>
    <w:qFormat/>
    <w:rsid w:val="00080CF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080CF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080CFF"/>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080CFF"/>
    <w:pPr>
      <w:numPr>
        <w:ilvl w:val="0"/>
        <w:numId w:val="0"/>
      </w:numPr>
    </w:pPr>
    <w:rPr>
      <w:b/>
    </w:rPr>
  </w:style>
  <w:style w:type="paragraph" w:customStyle="1" w:styleId="Bodytextbold">
    <w:name w:val="Body text bold"/>
    <w:basedOn w:val="smlouvabodytextbold"/>
    <w:next w:val="BodyText1"/>
    <w:qFormat/>
    <w:rsid w:val="00080CFF"/>
    <w:pPr>
      <w:tabs>
        <w:tab w:val="clear" w:pos="1021"/>
        <w:tab w:val="left" w:pos="1134"/>
      </w:tabs>
    </w:pPr>
    <w:rPr>
      <w:color w:val="000000"/>
    </w:rPr>
  </w:style>
  <w:style w:type="character" w:customStyle="1" w:styleId="CaptionbodyChar">
    <w:name w:val="Caption body Char"/>
    <w:basedOn w:val="Predvolenpsmoodseku"/>
    <w:link w:val="Captionbody"/>
    <w:rsid w:val="00080CFF"/>
    <w:rPr>
      <w:rFonts w:ascii="Arial" w:hAnsi="Arial"/>
      <w:color w:val="000000"/>
      <w:sz w:val="18"/>
      <w:lang w:val="en-US"/>
    </w:rPr>
  </w:style>
  <w:style w:type="paragraph" w:customStyle="1" w:styleId="Captionbody">
    <w:name w:val="Caption body"/>
    <w:link w:val="CaptionbodyChar"/>
    <w:rsid w:val="00080CFF"/>
    <w:pPr>
      <w:spacing w:after="0" w:line="240" w:lineRule="auto"/>
    </w:pPr>
    <w:rPr>
      <w:rFonts w:ascii="Arial" w:hAnsi="Arial"/>
      <w:color w:val="000000"/>
      <w:sz w:val="18"/>
      <w:lang w:val="en-US"/>
    </w:rPr>
  </w:style>
  <w:style w:type="paragraph" w:customStyle="1" w:styleId="Captionheading">
    <w:name w:val="Caption heading"/>
    <w:basedOn w:val="Captionbody"/>
    <w:qFormat/>
    <w:rsid w:val="00080CFF"/>
    <w:rPr>
      <w:b/>
    </w:rPr>
  </w:style>
  <w:style w:type="paragraph" w:customStyle="1" w:styleId="smlouvabodytext">
    <w:name w:val="smlouva body text"/>
    <w:basedOn w:val="Normlny"/>
    <w:rsid w:val="00080CFF"/>
    <w:pPr>
      <w:spacing w:after="0" w:line="240" w:lineRule="auto"/>
      <w:ind w:left="0" w:firstLine="0"/>
      <w:jc w:val="both"/>
    </w:pPr>
    <w:rPr>
      <w:rFonts w:ascii="Times New Roman" w:eastAsia="Times" w:hAnsi="Times New Roman" w:cs="Times New Roman"/>
      <w:noProof/>
      <w:sz w:val="22"/>
      <w:szCs w:val="20"/>
    </w:rPr>
  </w:style>
  <w:style w:type="paragraph" w:customStyle="1" w:styleId="Bulletslevel1">
    <w:name w:val="Bullets level 1"/>
    <w:basedOn w:val="Normlny"/>
    <w:link w:val="Bulletslevel1Char"/>
    <w:qFormat/>
    <w:rsid w:val="00080CFF"/>
    <w:pPr>
      <w:numPr>
        <w:numId w:val="4"/>
      </w:numPr>
      <w:spacing w:after="0" w:line="240" w:lineRule="auto"/>
      <w:ind w:left="360"/>
    </w:pPr>
    <w:rPr>
      <w:rFonts w:ascii="Times New Roman" w:eastAsia="Times" w:hAnsi="Times New Roman" w:cs="Times New Roman"/>
      <w:color w:val="000000"/>
      <w:sz w:val="22"/>
      <w:szCs w:val="20"/>
      <w:lang w:val="en-GB"/>
    </w:rPr>
  </w:style>
  <w:style w:type="character" w:customStyle="1" w:styleId="Bulletslevel1Char">
    <w:name w:val="Bullets level 1 Char"/>
    <w:basedOn w:val="Predvolenpsmoodseku"/>
    <w:link w:val="Bulletslevel1"/>
    <w:rsid w:val="00080CFF"/>
    <w:rPr>
      <w:rFonts w:ascii="Times New Roman" w:eastAsia="Times" w:hAnsi="Times New Roman" w:cs="Times New Roman"/>
      <w:color w:val="000000"/>
      <w:szCs w:val="20"/>
      <w:lang w:val="en-GB"/>
    </w:rPr>
  </w:style>
  <w:style w:type="paragraph" w:customStyle="1" w:styleId="Bulletslevel2">
    <w:name w:val="Bullets level 2"/>
    <w:basedOn w:val="Normlny"/>
    <w:link w:val="Bulletslevel2Char"/>
    <w:qFormat/>
    <w:rsid w:val="00080CFF"/>
    <w:pPr>
      <w:numPr>
        <w:numId w:val="5"/>
      </w:numPr>
      <w:tabs>
        <w:tab w:val="left" w:pos="567"/>
      </w:tabs>
      <w:spacing w:after="0" w:line="240" w:lineRule="auto"/>
    </w:pPr>
    <w:rPr>
      <w:rFonts w:ascii="Times New Roman" w:eastAsia="Times" w:hAnsi="Times New Roman" w:cs="Times New Roman"/>
      <w:color w:val="000000"/>
      <w:sz w:val="22"/>
      <w:szCs w:val="20"/>
      <w:lang w:val="en-GB"/>
    </w:rPr>
  </w:style>
  <w:style w:type="character" w:customStyle="1" w:styleId="Bulletslevel2Char">
    <w:name w:val="Bullets level 2 Char"/>
    <w:basedOn w:val="Bulletslevel1Char"/>
    <w:link w:val="Bulletslevel2"/>
    <w:rsid w:val="00080CFF"/>
    <w:rPr>
      <w:rFonts w:ascii="Times New Roman" w:eastAsia="Times" w:hAnsi="Times New Roman" w:cs="Times New Roman"/>
      <w:color w:val="000000"/>
      <w:szCs w:val="20"/>
      <w:lang w:val="en-GB"/>
    </w:rPr>
  </w:style>
  <w:style w:type="paragraph" w:customStyle="1" w:styleId="PulloutQuote">
    <w:name w:val="Pullout Quote"/>
    <w:rsid w:val="00080CFF"/>
    <w:pPr>
      <w:pBdr>
        <w:top w:val="single" w:sz="4" w:space="4" w:color="00A1DE"/>
      </w:pBdr>
      <w:suppressAutoHyphens/>
      <w:spacing w:after="0" w:line="320" w:lineRule="exact"/>
    </w:pPr>
    <w:rPr>
      <w:rFonts w:ascii="Times New Roman" w:eastAsia="Times" w:hAnsi="Times New Roman" w:cs="Times New Roman"/>
      <w:color w:val="00A1DE"/>
      <w:sz w:val="32"/>
      <w:szCs w:val="20"/>
      <w:lang w:val="en-GB"/>
    </w:rPr>
  </w:style>
  <w:style w:type="paragraph" w:customStyle="1" w:styleId="Highlight1">
    <w:name w:val="Highlight 1"/>
    <w:basedOn w:val="Normlny"/>
    <w:qFormat/>
    <w:rsid w:val="00080CFF"/>
    <w:pPr>
      <w:spacing w:before="0" w:after="0" w:line="240" w:lineRule="auto"/>
      <w:ind w:left="0" w:firstLine="0"/>
    </w:pPr>
    <w:rPr>
      <w:rFonts w:ascii="Times New Roman" w:eastAsia="Times New Roman" w:hAnsi="Times New Roman" w:cs="Times New Roman"/>
      <w:b/>
      <w:color w:val="3C8A2E"/>
      <w:szCs w:val="16"/>
      <w:lang w:val="cs-CZ"/>
    </w:rPr>
  </w:style>
  <w:style w:type="paragraph" w:customStyle="1" w:styleId="Highlight2">
    <w:name w:val="Highlight 2"/>
    <w:basedOn w:val="Highlight1"/>
    <w:qFormat/>
    <w:rsid w:val="00080CFF"/>
    <w:rPr>
      <w:color w:val="92D400"/>
    </w:rPr>
  </w:style>
  <w:style w:type="table" w:customStyle="1" w:styleId="Deloittetable1">
    <w:name w:val="Deloitte table 1"/>
    <w:basedOn w:val="Normlnatabuka"/>
    <w:rsid w:val="00080CFF"/>
    <w:pPr>
      <w:spacing w:after="0" w:line="240" w:lineRule="auto"/>
    </w:pPr>
    <w:rPr>
      <w:rFonts w:ascii="Arial" w:eastAsia="Times New Roman" w:hAnsi="Arial" w:cs="Times New Roman"/>
      <w:sz w:val="19"/>
      <w:szCs w:val="20"/>
      <w:lang w:val="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80CFF"/>
    <w:pPr>
      <w:spacing w:before="0" w:after="240" w:line="240" w:lineRule="auto"/>
      <w:ind w:left="720" w:firstLine="0"/>
    </w:pPr>
    <w:rPr>
      <w:rFonts w:ascii="Times New Roman" w:eastAsia="Times New Roman" w:hAnsi="Times New Roman" w:cs="Times New Roman"/>
      <w:sz w:val="22"/>
      <w:szCs w:val="20"/>
    </w:rPr>
  </w:style>
  <w:style w:type="table" w:customStyle="1" w:styleId="Deloittetable2">
    <w:name w:val="Deloitte table 2"/>
    <w:basedOn w:val="Normlnatabuka"/>
    <w:rsid w:val="00080CFF"/>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080CFF"/>
    <w:pPr>
      <w:spacing w:after="0" w:line="240" w:lineRule="auto"/>
    </w:pPr>
    <w:rPr>
      <w:rFonts w:ascii="Times New Roman" w:eastAsia="Times New Roman" w:hAnsi="Times New Roman"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080CFF"/>
    <w:pPr>
      <w:spacing w:after="0" w:line="240" w:lineRule="auto"/>
    </w:pPr>
    <w:rPr>
      <w:rFonts w:ascii="Arial" w:eastAsia="Times New Roman" w:hAnsi="Arial" w:cs="Times New Roman"/>
      <w:sz w:val="19"/>
      <w:szCs w:val="20"/>
      <w:lang w:val="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080CFF"/>
    <w:pPr>
      <w:spacing w:after="0" w:line="240" w:lineRule="auto"/>
    </w:pPr>
    <w:rPr>
      <w:rFonts w:ascii="Arial" w:eastAsia="Times New Roman" w:hAnsi="Arial" w:cs="Times New Roman"/>
      <w:sz w:val="19"/>
      <w:szCs w:val="20"/>
      <w:lang w:val="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080CFF"/>
    <w:pPr>
      <w:spacing w:after="0" w:line="240" w:lineRule="auto"/>
    </w:pPr>
    <w:rPr>
      <w:rFonts w:ascii="Arial" w:eastAsia="Times New Roman" w:hAnsi="Arial" w:cs="Times New Roman"/>
      <w:sz w:val="19"/>
      <w:szCs w:val="20"/>
      <w:lang w:val="en-US"/>
    </w:rPr>
    <w:tblPr/>
  </w:style>
  <w:style w:type="table" w:customStyle="1" w:styleId="Deloittetable6">
    <w:name w:val="Deloitte table 6"/>
    <w:basedOn w:val="Normlnatabuka"/>
    <w:rsid w:val="00080CFF"/>
    <w:pPr>
      <w:spacing w:after="0" w:line="240" w:lineRule="auto"/>
    </w:pPr>
    <w:rPr>
      <w:rFonts w:ascii="Arial" w:eastAsia="Times New Roman" w:hAnsi="Arial" w:cs="Times New Roman"/>
      <w:sz w:val="19"/>
      <w:szCs w:val="20"/>
      <w:lang w:val="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080CFF"/>
    <w:pPr>
      <w:spacing w:after="0" w:line="240" w:lineRule="auto"/>
    </w:pPr>
    <w:rPr>
      <w:rFonts w:ascii="Arial" w:eastAsia="Times New Roman" w:hAnsi="Arial" w:cs="Times New Roman"/>
      <w:sz w:val="19"/>
      <w:szCs w:val="20"/>
      <w:lang w:val="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080CFF"/>
    <w:pPr>
      <w:spacing w:after="0" w:line="240" w:lineRule="auto"/>
    </w:pPr>
    <w:rPr>
      <w:rFonts w:ascii="Times New Roman" w:eastAsia="Times New Roman" w:hAnsi="Times New Roman"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080CFF"/>
    <w:pPr>
      <w:spacing w:after="0" w:line="240" w:lineRule="auto"/>
      <w:contextualSpacing/>
    </w:pPr>
    <w:rPr>
      <w:rFonts w:ascii="Arial" w:eastAsia="Times New Roman" w:hAnsi="Arial" w:cs="Times New Roman"/>
      <w:sz w:val="19"/>
      <w:szCs w:val="20"/>
      <w:lang w:val="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080CFF"/>
    <w:pPr>
      <w:spacing w:after="0" w:line="240" w:lineRule="auto"/>
    </w:pPr>
    <w:rPr>
      <w:rFonts w:ascii="Arial" w:eastAsia="Times New Roman" w:hAnsi="Arial" w:cs="Times New Roman"/>
      <w:sz w:val="19"/>
      <w:szCs w:val="20"/>
      <w:lang w:val="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080CFF"/>
    <w:pPr>
      <w:spacing w:after="0" w:line="240" w:lineRule="auto"/>
    </w:pPr>
    <w:rPr>
      <w:rFonts w:ascii="Arial" w:eastAsia="Times New Roman" w:hAnsi="Arial" w:cs="Times New Roman"/>
      <w:sz w:val="19"/>
      <w:szCs w:val="20"/>
      <w:lang w:val="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080CFF"/>
    <w:pPr>
      <w:spacing w:after="0" w:line="240" w:lineRule="auto"/>
    </w:pPr>
    <w:rPr>
      <w:rFonts w:ascii="Arial" w:eastAsia="Times New Roman" w:hAnsi="Arial" w:cs="Times New Roman"/>
      <w:sz w:val="19"/>
      <w:szCs w:val="20"/>
      <w:lang w:val="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080CFF"/>
    <w:pPr>
      <w:spacing w:after="0" w:line="240" w:lineRule="auto"/>
    </w:pPr>
    <w:rPr>
      <w:rFonts w:ascii="Arial" w:eastAsia="Times New Roman" w:hAnsi="Arial" w:cs="Times New Roman"/>
      <w:sz w:val="19"/>
      <w:szCs w:val="20"/>
      <w:lang w:val="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080CFF"/>
    <w:pPr>
      <w:spacing w:after="0" w:line="240" w:lineRule="auto"/>
    </w:pPr>
    <w:rPr>
      <w:rFonts w:ascii="Times New Roman" w:eastAsia="Times New Roman" w:hAnsi="Times New Roman"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080CFF"/>
    <w:pPr>
      <w:spacing w:after="0" w:line="240" w:lineRule="auto"/>
    </w:pPr>
    <w:rPr>
      <w:rFonts w:ascii="Times New Roman" w:eastAsia="Times New Roman" w:hAnsi="Times New Roman" w:cs="Times New Roman"/>
      <w:color w:val="000000"/>
      <w:sz w:val="20"/>
      <w:szCs w:val="20"/>
      <w:lang w:val="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080CF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080CFF"/>
    <w:pPr>
      <w:spacing w:before="0" w:after="100" w:line="240" w:lineRule="auto"/>
      <w:ind w:left="960" w:firstLine="0"/>
    </w:pPr>
    <w:rPr>
      <w:rFonts w:ascii="Times New Roman" w:eastAsia="Times New Roman" w:hAnsi="Times New Roman" w:cs="Times New Roman"/>
      <w:sz w:val="22"/>
      <w:szCs w:val="20"/>
    </w:rPr>
  </w:style>
  <w:style w:type="paragraph" w:customStyle="1" w:styleId="Highlight3">
    <w:name w:val="Highlight 3"/>
    <w:basedOn w:val="Highlight2"/>
    <w:qFormat/>
    <w:rsid w:val="00080CFF"/>
    <w:rPr>
      <w:color w:val="00A1DE"/>
    </w:rPr>
  </w:style>
  <w:style w:type="table" w:customStyle="1" w:styleId="Deloittetable31">
    <w:name w:val="Deloitte table 31"/>
    <w:basedOn w:val="Normlnatabuka"/>
    <w:next w:val="Mriekatabuky"/>
    <w:uiPriority w:val="59"/>
    <w:rsid w:val="008C3E4C"/>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b/>
        <w:color w:val="FFFFFF"/>
        <w:sz w:val="19"/>
      </w:rPr>
    </w:tblStylePr>
  </w:style>
  <w:style w:type="numbering" w:customStyle="1" w:styleId="NoList1">
    <w:name w:val="No List1"/>
    <w:next w:val="Bezzoznamu"/>
    <w:uiPriority w:val="99"/>
    <w:semiHidden/>
    <w:unhideWhenUsed/>
    <w:rsid w:val="003D7106"/>
  </w:style>
  <w:style w:type="table" w:customStyle="1" w:styleId="Deloittetable32">
    <w:name w:val="Deloitte table 32"/>
    <w:basedOn w:val="Normlnatabuka"/>
    <w:next w:val="Mriekatabuky"/>
    <w:uiPriority w:val="59"/>
    <w:rsid w:val="003D7106"/>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customStyle="1" w:styleId="Tabtext">
    <w:name w:val="Tab_text"/>
    <w:basedOn w:val="Normlny"/>
    <w:link w:val="TabtextChar"/>
    <w:qFormat/>
    <w:rsid w:val="00BE54D7"/>
    <w:pPr>
      <w:spacing w:before="0" w:after="0" w:line="240" w:lineRule="auto"/>
      <w:ind w:left="0" w:firstLine="0"/>
    </w:pPr>
    <w:rPr>
      <w:rFonts w:eastAsia="Times New Roman" w:cs="Times New Roman"/>
      <w:sz w:val="18"/>
      <w:szCs w:val="20"/>
      <w:lang w:eastAsia="sk-SK"/>
    </w:rPr>
  </w:style>
  <w:style w:type="character" w:customStyle="1" w:styleId="TabtextChar">
    <w:name w:val="Tab_text Char"/>
    <w:basedOn w:val="Predvolenpsmoodseku"/>
    <w:link w:val="Tabtext"/>
    <w:rsid w:val="00BE54D7"/>
    <w:rPr>
      <w:rFonts w:ascii="Calibri" w:eastAsia="Times New Roman" w:hAnsi="Calibri" w:cs="Times New Roman"/>
      <w:sz w:val="18"/>
      <w:szCs w:val="20"/>
      <w:lang w:eastAsia="sk-SK"/>
    </w:rPr>
  </w:style>
  <w:style w:type="paragraph" w:customStyle="1" w:styleId="TabNadpis">
    <w:name w:val="Tab_Nadpis"/>
    <w:basedOn w:val="Normlny"/>
    <w:link w:val="TabNadpisChar"/>
    <w:qFormat/>
    <w:rsid w:val="00C759C8"/>
    <w:pPr>
      <w:spacing w:after="0" w:line="240" w:lineRule="auto"/>
      <w:ind w:left="0" w:firstLine="0"/>
    </w:pPr>
    <w:rPr>
      <w:rFonts w:eastAsia="Times New Roman" w:cs="Times New Roman"/>
      <w:b/>
      <w:color w:val="FFFFFF" w:themeColor="background1"/>
      <w:sz w:val="22"/>
      <w:lang w:eastAsia="sk-SK"/>
    </w:rPr>
  </w:style>
  <w:style w:type="character" w:customStyle="1" w:styleId="TabNadpisChar">
    <w:name w:val="Tab_Nadpis Char"/>
    <w:basedOn w:val="Predvolenpsmoodseku"/>
    <w:link w:val="TabNadpis"/>
    <w:rsid w:val="00C759C8"/>
    <w:rPr>
      <w:rFonts w:ascii="Calibri" w:eastAsia="Times New Roman" w:hAnsi="Calibri" w:cs="Times New Roman"/>
      <w:b/>
      <w:color w:val="FFFFFF" w:themeColor="background1"/>
      <w:lang w:eastAsia="sk-SK"/>
    </w:rPr>
  </w:style>
  <w:style w:type="paragraph" w:styleId="Popis">
    <w:name w:val="caption"/>
    <w:basedOn w:val="Normlny"/>
    <w:next w:val="Normlny"/>
    <w:uiPriority w:val="35"/>
    <w:unhideWhenUsed/>
    <w:qFormat/>
    <w:rsid w:val="00722C1A"/>
    <w:pPr>
      <w:spacing w:before="0" w:after="0" w:line="0" w:lineRule="atLeast"/>
      <w:ind w:left="0" w:firstLine="0"/>
    </w:pPr>
    <w:rPr>
      <w:rFonts w:eastAsia="Times New Roman" w:cs="Times New Roman"/>
      <w:b/>
      <w:bCs/>
      <w:color w:val="365F91"/>
      <w:sz w:val="22"/>
      <w:szCs w:val="16"/>
      <w:lang w:val="en-US" w:bidi="en-US"/>
    </w:rPr>
  </w:style>
  <w:style w:type="paragraph" w:customStyle="1" w:styleId="CharCharCharCharChar">
    <w:name w:val="Char Char Char Char Char"/>
    <w:basedOn w:val="Normlny"/>
    <w:rsid w:val="001C2C33"/>
    <w:pPr>
      <w:spacing w:before="0" w:after="160" w:line="240" w:lineRule="exact"/>
      <w:ind w:left="0" w:firstLine="720"/>
    </w:pPr>
    <w:rPr>
      <w:rFonts w:ascii="Tahoma" w:eastAsia="Times New Roman" w:hAnsi="Tahoma" w:cs="Times New Roman"/>
      <w:szCs w:val="20"/>
      <w:lang w:val="en-US"/>
    </w:rPr>
  </w:style>
  <w:style w:type="paragraph" w:customStyle="1" w:styleId="Char2">
    <w:name w:val="Char2"/>
    <w:basedOn w:val="Normlny"/>
    <w:link w:val="Odkaznapoznmkupodiarou"/>
    <w:rsid w:val="0041654D"/>
    <w:pPr>
      <w:spacing w:before="0" w:after="160" w:line="240" w:lineRule="exact"/>
      <w:ind w:left="0" w:firstLine="0"/>
    </w:pPr>
    <w:rPr>
      <w:rFonts w:asciiTheme="minorHAnsi" w:hAnsiTheme="minorHAnsi"/>
      <w:sz w:val="22"/>
      <w:vertAlign w:val="superscript"/>
    </w:rPr>
  </w:style>
  <w:style w:type="paragraph" w:styleId="Normlnywebov">
    <w:name w:val="Normal (Web)"/>
    <w:basedOn w:val="Normlny"/>
    <w:uiPriority w:val="99"/>
    <w:semiHidden/>
    <w:unhideWhenUsed/>
    <w:rsid w:val="004F493B"/>
    <w:pPr>
      <w:spacing w:before="100" w:beforeAutospacing="1" w:after="100" w:afterAutospacing="1" w:line="240" w:lineRule="auto"/>
      <w:ind w:left="0" w:firstLine="0"/>
    </w:pPr>
    <w:rPr>
      <w:rFonts w:ascii="Times New Roman" w:eastAsiaTheme="minorEastAsia"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3200">
      <w:bodyDiv w:val="1"/>
      <w:marLeft w:val="0"/>
      <w:marRight w:val="0"/>
      <w:marTop w:val="0"/>
      <w:marBottom w:val="0"/>
      <w:divBdr>
        <w:top w:val="none" w:sz="0" w:space="0" w:color="auto"/>
        <w:left w:val="none" w:sz="0" w:space="0" w:color="auto"/>
        <w:bottom w:val="none" w:sz="0" w:space="0" w:color="auto"/>
        <w:right w:val="none" w:sz="0" w:space="0" w:color="auto"/>
      </w:divBdr>
    </w:div>
    <w:div w:id="438527867">
      <w:bodyDiv w:val="1"/>
      <w:marLeft w:val="0"/>
      <w:marRight w:val="0"/>
      <w:marTop w:val="0"/>
      <w:marBottom w:val="0"/>
      <w:divBdr>
        <w:top w:val="none" w:sz="0" w:space="0" w:color="auto"/>
        <w:left w:val="none" w:sz="0" w:space="0" w:color="auto"/>
        <w:bottom w:val="none" w:sz="0" w:space="0" w:color="auto"/>
        <w:right w:val="none" w:sz="0" w:space="0" w:color="auto"/>
      </w:divBdr>
    </w:div>
    <w:div w:id="1031952222">
      <w:bodyDiv w:val="1"/>
      <w:marLeft w:val="0"/>
      <w:marRight w:val="0"/>
      <w:marTop w:val="0"/>
      <w:marBottom w:val="0"/>
      <w:divBdr>
        <w:top w:val="none" w:sz="0" w:space="0" w:color="auto"/>
        <w:left w:val="none" w:sz="0" w:space="0" w:color="auto"/>
        <w:bottom w:val="none" w:sz="0" w:space="0" w:color="auto"/>
        <w:right w:val="none" w:sz="0" w:space="0" w:color="auto"/>
      </w:divBdr>
    </w:div>
    <w:div w:id="1117261507">
      <w:bodyDiv w:val="1"/>
      <w:marLeft w:val="0"/>
      <w:marRight w:val="0"/>
      <w:marTop w:val="0"/>
      <w:marBottom w:val="0"/>
      <w:divBdr>
        <w:top w:val="none" w:sz="0" w:space="0" w:color="auto"/>
        <w:left w:val="none" w:sz="0" w:space="0" w:color="auto"/>
        <w:bottom w:val="none" w:sz="0" w:space="0" w:color="auto"/>
        <w:right w:val="none" w:sz="0" w:space="0" w:color="auto"/>
      </w:divBdr>
    </w:div>
    <w:div w:id="1166632542">
      <w:bodyDiv w:val="1"/>
      <w:marLeft w:val="0"/>
      <w:marRight w:val="0"/>
      <w:marTop w:val="0"/>
      <w:marBottom w:val="0"/>
      <w:divBdr>
        <w:top w:val="none" w:sz="0" w:space="0" w:color="auto"/>
        <w:left w:val="none" w:sz="0" w:space="0" w:color="auto"/>
        <w:bottom w:val="none" w:sz="0" w:space="0" w:color="auto"/>
        <w:right w:val="none" w:sz="0" w:space="0" w:color="auto"/>
      </w:divBdr>
    </w:div>
    <w:div w:id="1211378579">
      <w:bodyDiv w:val="1"/>
      <w:marLeft w:val="0"/>
      <w:marRight w:val="0"/>
      <w:marTop w:val="0"/>
      <w:marBottom w:val="0"/>
      <w:divBdr>
        <w:top w:val="none" w:sz="0" w:space="0" w:color="auto"/>
        <w:left w:val="none" w:sz="0" w:space="0" w:color="auto"/>
        <w:bottom w:val="none" w:sz="0" w:space="0" w:color="auto"/>
        <w:right w:val="none" w:sz="0" w:space="0" w:color="auto"/>
      </w:divBdr>
    </w:div>
    <w:div w:id="1229926921">
      <w:bodyDiv w:val="1"/>
      <w:marLeft w:val="0"/>
      <w:marRight w:val="0"/>
      <w:marTop w:val="0"/>
      <w:marBottom w:val="0"/>
      <w:divBdr>
        <w:top w:val="none" w:sz="0" w:space="0" w:color="auto"/>
        <w:left w:val="none" w:sz="0" w:space="0" w:color="auto"/>
        <w:bottom w:val="none" w:sz="0" w:space="0" w:color="auto"/>
        <w:right w:val="none" w:sz="0" w:space="0" w:color="auto"/>
      </w:divBdr>
    </w:div>
    <w:div w:id="199139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Deloitt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DCB43-D87A-409A-8D46-2945FA8C3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7160</Words>
  <Characters>40815</Characters>
  <Application>Microsoft Office Word</Application>
  <DocSecurity>0</DocSecurity>
  <Lines>340</Lines>
  <Paragraphs>95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47880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Kúdelová, Lucia</dc:creator>
  <cp:lastModifiedBy>Saxa, Patrik</cp:lastModifiedBy>
  <cp:revision>13</cp:revision>
  <cp:lastPrinted>2016-02-12T13:51:00Z</cp:lastPrinted>
  <dcterms:created xsi:type="dcterms:W3CDTF">2017-11-13T15:08:00Z</dcterms:created>
  <dcterms:modified xsi:type="dcterms:W3CDTF">2019-12-13T12:12:00Z</dcterms:modified>
</cp:coreProperties>
</file>